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EDA37">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bookmarkStart w:id="40" w:name="_GoBack"/>
      <w:bookmarkEnd w:id="40"/>
      <w:bookmarkStart w:id="0" w:name="_Toc20529"/>
      <w:r>
        <w:rPr>
          <w:rFonts w:hint="eastAsia" w:ascii="方正小标宋简体" w:hAnsi="方正小标宋简体" w:eastAsia="方正小标宋简体" w:cs="方正小标宋简体"/>
          <w:b/>
          <w:color w:val="auto"/>
          <w:sz w:val="44"/>
          <w:szCs w:val="44"/>
          <w:lang w:val="en-US" w:eastAsia="zh-CN"/>
        </w:rPr>
        <w:t xml:space="preserve">   </w:t>
      </w:r>
      <w:bookmarkStart w:id="1" w:name="_Toc28269"/>
      <w:bookmarkStart w:id="2" w:name="_Toc13550"/>
    </w:p>
    <w:p w14:paraId="4ABD3037">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22254FAD">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2B2B15F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outlineLvl w:val="0"/>
        <w:rPr>
          <w:rFonts w:hint="eastAsia" w:ascii="黑体" w:hAnsi="黑体" w:eastAsia="黑体" w:cs="黑体"/>
          <w:b/>
          <w:color w:val="auto"/>
          <w:sz w:val="44"/>
          <w:szCs w:val="44"/>
          <w:lang w:val="en-US" w:eastAsia="zh-CN"/>
        </w:rPr>
      </w:pPr>
      <w:r>
        <w:rPr>
          <w:rFonts w:hint="eastAsia" w:ascii="黑体" w:hAnsi="黑体" w:eastAsia="黑体" w:cs="黑体"/>
          <w:b/>
          <w:color w:val="auto"/>
          <w:sz w:val="44"/>
          <w:szCs w:val="44"/>
          <w:lang w:val="en-US" w:eastAsia="zh-CN"/>
        </w:rPr>
        <w:t>烟台银行股份有限公司</w:t>
      </w:r>
    </w:p>
    <w:p w14:paraId="3055AF4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outlineLvl w:val="0"/>
        <w:rPr>
          <w:rFonts w:hint="eastAsia" w:ascii="黑体" w:hAnsi="黑体" w:eastAsia="黑体" w:cs="黑体"/>
          <w:b/>
          <w:color w:val="auto"/>
          <w:sz w:val="44"/>
          <w:szCs w:val="44"/>
          <w:lang w:val="en-US" w:eastAsia="zh-CN"/>
        </w:rPr>
      </w:pPr>
      <w:r>
        <w:rPr>
          <w:rFonts w:hint="eastAsia" w:ascii="黑体" w:hAnsi="黑体" w:eastAsia="黑体" w:cs="黑体"/>
          <w:b/>
          <w:color w:val="auto"/>
          <w:sz w:val="44"/>
          <w:szCs w:val="44"/>
          <w:lang w:val="en-US" w:eastAsia="zh-CN"/>
        </w:rPr>
        <w:t>2024年社会责任报告摘要</w:t>
      </w:r>
    </w:p>
    <w:p w14:paraId="1AFF682B">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2E2232E8">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535058BF">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0A785C6E">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4519C6C9">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7E38109F">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23C89503">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0D512C3D">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6D218EF4">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4F6B7253">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25933D94">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2B6184D7">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1F1BD5B4">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67BD940E">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3DA8C223">
      <w:pPr>
        <w:keepNext w:val="0"/>
        <w:keepLines w:val="0"/>
        <w:pageBreakBefore w:val="0"/>
        <w:widowControl w:val="0"/>
        <w:kinsoku/>
        <w:wordWrap/>
        <w:overflowPunct/>
        <w:topLinePunct w:val="0"/>
        <w:bidi w:val="0"/>
        <w:adjustRightInd w:val="0"/>
        <w:snapToGrid w:val="0"/>
        <w:spacing w:line="560" w:lineRule="exact"/>
        <w:ind w:left="0" w:leftChars="0" w:firstLine="721" w:firstLineChars="200"/>
        <w:jc w:val="center"/>
        <w:textAlignment w:val="auto"/>
        <w:outlineLvl w:val="0"/>
        <w:rPr>
          <w:rFonts w:hint="eastAsia" w:ascii="仿宋_GB2312" w:hAnsi="仿宋_GB2312" w:eastAsia="仿宋_GB2312" w:cs="仿宋_GB2312"/>
          <w:b/>
          <w:color w:val="auto"/>
          <w:sz w:val="36"/>
          <w:szCs w:val="36"/>
          <w:lang w:val="en-US" w:eastAsia="zh-CN"/>
        </w:rPr>
      </w:pPr>
    </w:p>
    <w:p w14:paraId="53D622D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outlineLvl w:val="0"/>
        <w:rPr>
          <w:rFonts w:hint="eastAsia" w:ascii="仿宋_GB2312" w:hAnsi="仿宋_GB2312" w:eastAsia="仿宋_GB2312" w:cs="仿宋_GB2312"/>
          <w:b/>
          <w:color w:val="auto"/>
          <w:sz w:val="36"/>
          <w:szCs w:val="36"/>
          <w:lang w:val="en-US" w:eastAsia="zh-CN"/>
        </w:rPr>
      </w:pPr>
      <w:r>
        <w:rPr>
          <w:rFonts w:hint="eastAsia" w:ascii="仿宋_GB2312" w:hAnsi="仿宋_GB2312" w:eastAsia="仿宋_GB2312" w:cs="仿宋_GB2312"/>
          <w:b/>
          <w:color w:val="auto"/>
          <w:sz w:val="36"/>
          <w:szCs w:val="36"/>
          <w:lang w:val="en-US" w:eastAsia="zh-CN"/>
        </w:rPr>
        <w:t>烟台银行股份有限公司</w:t>
      </w:r>
    </w:p>
    <w:p w14:paraId="7F3BBCC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outlineLvl w:val="0"/>
        <w:rPr>
          <w:rFonts w:hint="eastAsia" w:ascii="仿宋_GB2312" w:hAnsi="仿宋_GB2312" w:eastAsia="仿宋_GB2312" w:cs="仿宋_GB2312"/>
          <w:b/>
          <w:color w:val="auto"/>
          <w:sz w:val="36"/>
          <w:szCs w:val="36"/>
          <w:lang w:val="en-US" w:eastAsia="zh-CN"/>
        </w:rPr>
      </w:pPr>
      <w:r>
        <w:rPr>
          <w:rFonts w:hint="eastAsia" w:ascii="仿宋_GB2312" w:hAnsi="仿宋_GB2312" w:eastAsia="仿宋_GB2312" w:cs="仿宋_GB2312"/>
          <w:b/>
          <w:color w:val="auto"/>
          <w:sz w:val="36"/>
          <w:szCs w:val="36"/>
          <w:lang w:val="en-US" w:eastAsia="zh-CN"/>
        </w:rPr>
        <w:t>二○二五年十二月</w:t>
      </w:r>
    </w:p>
    <w:p w14:paraId="6555CA41">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4B758C4C">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073BD1C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0" w:firstLineChars="0"/>
        <w:jc w:val="center"/>
        <w:textAlignment w:val="auto"/>
        <w:outlineLvl w:val="0"/>
        <w:rPr>
          <w:rFonts w:hint="eastAsia" w:ascii="黑体" w:hAnsi="黑体" w:eastAsia="黑体" w:cs="黑体"/>
          <w:b w:val="0"/>
          <w:bCs/>
          <w:color w:val="auto"/>
          <w:sz w:val="44"/>
          <w:szCs w:val="44"/>
          <w:lang w:val="en-US" w:eastAsia="zh-CN"/>
        </w:rPr>
      </w:pPr>
      <w:r>
        <w:rPr>
          <w:rFonts w:hint="eastAsia" w:ascii="黑体" w:hAnsi="黑体" w:eastAsia="黑体" w:cs="黑体"/>
          <w:b w:val="0"/>
          <w:bCs/>
          <w:color w:val="auto"/>
          <w:sz w:val="44"/>
          <w:szCs w:val="44"/>
          <w:lang w:val="en-US" w:eastAsia="zh-CN"/>
        </w:rPr>
        <w:t>报告说明</w:t>
      </w:r>
    </w:p>
    <w:p w14:paraId="0862A6CB">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eastAsia" w:ascii="仿宋_GB2312" w:hAnsi="仿宋_GB2312" w:eastAsia="仿宋_GB2312" w:cs="仿宋_GB2312"/>
          <w:b w:val="0"/>
          <w:bCs/>
          <w:color w:val="auto"/>
          <w:sz w:val="32"/>
          <w:szCs w:val="32"/>
          <w:lang w:val="en-US" w:eastAsia="zh-CN"/>
        </w:rPr>
      </w:pPr>
      <w:r>
        <w:rPr>
          <w:rFonts w:hint="eastAsia" w:ascii="黑体" w:hAnsi="黑体" w:eastAsia="黑体" w:cs="黑体"/>
          <w:b w:val="0"/>
          <w:bCs/>
          <w:color w:val="auto"/>
          <w:sz w:val="32"/>
          <w:szCs w:val="32"/>
          <w:lang w:val="en-US" w:eastAsia="zh-CN"/>
        </w:rPr>
        <w:t>一、报告时间范围：</w:t>
      </w:r>
      <w:r>
        <w:rPr>
          <w:rFonts w:hint="eastAsia" w:ascii="仿宋_GB2312" w:hAnsi="仿宋_GB2312" w:eastAsia="仿宋_GB2312" w:cs="仿宋_GB2312"/>
          <w:b w:val="0"/>
          <w:bCs/>
          <w:color w:val="auto"/>
          <w:sz w:val="32"/>
          <w:szCs w:val="32"/>
          <w:lang w:val="en-US" w:eastAsia="zh-CN"/>
        </w:rPr>
        <w:t>2024年1月1日至2024年12月31日。报告组织范围：报告覆盖烟台银行股份有限公司总行、分支机构。报告发布周期：年度。</w:t>
      </w:r>
    </w:p>
    <w:p w14:paraId="51200B66">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二、报告编制原则：</w:t>
      </w:r>
      <w:r>
        <w:rPr>
          <w:rFonts w:hint="eastAsia" w:ascii="仿宋_GB2312" w:hAnsi="仿宋_GB2312" w:eastAsia="仿宋_GB2312" w:cs="仿宋_GB2312"/>
          <w:b w:val="0"/>
          <w:bCs/>
          <w:color w:val="auto"/>
          <w:sz w:val="32"/>
          <w:szCs w:val="32"/>
          <w:lang w:val="en-US" w:eastAsia="zh-CN"/>
        </w:rPr>
        <w:t>报告依照《银行保险机构公司治理准则》、</w:t>
      </w:r>
      <w:r>
        <w:rPr>
          <w:rFonts w:hint="eastAsia" w:ascii="仿宋_GB2312" w:hAnsi="仿宋_GB2312" w:eastAsia="仿宋_GB2312" w:cs="仿宋_GB2312"/>
          <w:b w:val="0"/>
          <w:bCs/>
          <w:color w:val="auto"/>
          <w:sz w:val="32"/>
          <w:szCs w:val="32"/>
          <w:highlight w:val="none"/>
          <w:lang w:val="en-US" w:eastAsia="zh-CN"/>
        </w:rPr>
        <w:t>中国银行业协会《中国银行业金融机构企业社会责任指引》</w:t>
      </w:r>
      <w:r>
        <w:rPr>
          <w:rFonts w:hint="eastAsia" w:ascii="仿宋_GB2312" w:hAnsi="仿宋_GB2312" w:eastAsia="仿宋_GB2312" w:cs="仿宋_GB2312"/>
          <w:b w:val="0"/>
          <w:bCs/>
          <w:color w:val="auto"/>
          <w:sz w:val="32"/>
          <w:szCs w:val="32"/>
          <w:lang w:val="en-US" w:eastAsia="zh-CN"/>
        </w:rPr>
        <w:t>编制指引等相关要求进行编写。</w:t>
      </w:r>
    </w:p>
    <w:p w14:paraId="3392AF14">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default"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三、报告发布形式：</w:t>
      </w:r>
      <w:r>
        <w:rPr>
          <w:rFonts w:hint="eastAsia" w:ascii="仿宋_GB2312" w:hAnsi="仿宋_GB2312" w:eastAsia="仿宋_GB2312" w:cs="仿宋_GB2312"/>
          <w:b w:val="0"/>
          <w:bCs/>
          <w:color w:val="auto"/>
          <w:sz w:val="32"/>
          <w:szCs w:val="32"/>
          <w:lang w:val="en-US" w:eastAsia="zh-CN"/>
        </w:rPr>
        <w:t>烟台银行股份有限公司网站：http：//www.yantaibank.net</w:t>
      </w:r>
    </w:p>
    <w:p w14:paraId="10807A33">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eastAsia" w:ascii="仿宋_GB2312" w:hAnsi="仿宋_GB2312" w:eastAsia="仿宋_GB2312" w:cs="仿宋_GB2312"/>
          <w:b w:val="0"/>
          <w:bCs/>
          <w:color w:val="auto"/>
          <w:sz w:val="32"/>
          <w:szCs w:val="32"/>
          <w:lang w:val="en-US" w:eastAsia="zh-CN"/>
        </w:rPr>
      </w:pPr>
      <w:r>
        <w:rPr>
          <w:rFonts w:hint="eastAsia" w:ascii="黑体" w:hAnsi="黑体" w:eastAsia="黑体" w:cs="黑体"/>
          <w:b w:val="0"/>
          <w:bCs/>
          <w:color w:val="auto"/>
          <w:sz w:val="32"/>
          <w:szCs w:val="32"/>
          <w:lang w:val="en-US" w:eastAsia="zh-CN"/>
        </w:rPr>
        <w:t>四、报告备置地点：</w:t>
      </w:r>
      <w:r>
        <w:rPr>
          <w:rFonts w:hint="eastAsia" w:ascii="仿宋_GB2312" w:hAnsi="仿宋_GB2312" w:eastAsia="仿宋_GB2312" w:cs="仿宋_GB2312"/>
          <w:b w:val="0"/>
          <w:bCs/>
          <w:color w:val="auto"/>
          <w:sz w:val="32"/>
          <w:szCs w:val="32"/>
          <w:lang w:val="en-US" w:eastAsia="zh-CN"/>
        </w:rPr>
        <w:t>本行</w:t>
      </w:r>
      <w:r>
        <w:rPr>
          <w:rFonts w:hint="eastAsia" w:ascii="仿宋_GB2312" w:hAnsi="仿宋_GB2312" w:eastAsia="仿宋_GB2312" w:cs="仿宋_GB2312"/>
          <w:b w:val="0"/>
          <w:bCs/>
          <w:color w:val="auto"/>
          <w:sz w:val="32"/>
          <w:szCs w:val="32"/>
          <w:highlight w:val="none"/>
          <w:lang w:val="en-US" w:eastAsia="zh-CN"/>
        </w:rPr>
        <w:t>消费者权益保护部。</w:t>
      </w:r>
    </w:p>
    <w:p w14:paraId="407C655C">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eastAsia" w:ascii="仿宋_GB2312" w:hAnsi="仿宋_GB2312" w:eastAsia="仿宋_GB2312" w:cs="仿宋_GB2312"/>
          <w:b w:val="0"/>
          <w:bCs/>
          <w:color w:val="auto"/>
          <w:sz w:val="32"/>
          <w:szCs w:val="32"/>
          <w:lang w:val="en-US" w:eastAsia="zh-CN"/>
        </w:rPr>
      </w:pPr>
    </w:p>
    <w:p w14:paraId="5A14934F">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eastAsia" w:ascii="仿宋_GB2312" w:hAnsi="仿宋_GB2312" w:eastAsia="仿宋_GB2312" w:cs="仿宋_GB2312"/>
          <w:b w:val="0"/>
          <w:bCs/>
          <w:color w:val="auto"/>
          <w:sz w:val="32"/>
          <w:szCs w:val="32"/>
          <w:lang w:val="en-US" w:eastAsia="zh-CN"/>
        </w:rPr>
      </w:pPr>
    </w:p>
    <w:p w14:paraId="07729D62">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eastAsia" w:ascii="仿宋_GB2312" w:hAnsi="仿宋_GB2312" w:eastAsia="仿宋_GB2312" w:cs="仿宋_GB2312"/>
          <w:b w:val="0"/>
          <w:bCs/>
          <w:color w:val="auto"/>
          <w:sz w:val="32"/>
          <w:szCs w:val="32"/>
          <w:lang w:val="en-US" w:eastAsia="zh-CN"/>
        </w:rPr>
      </w:pPr>
    </w:p>
    <w:p w14:paraId="7A063F1F">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eastAsia" w:ascii="仿宋_GB2312" w:hAnsi="仿宋_GB2312" w:eastAsia="仿宋_GB2312" w:cs="仿宋_GB2312"/>
          <w:b w:val="0"/>
          <w:bCs/>
          <w:color w:val="auto"/>
          <w:sz w:val="32"/>
          <w:szCs w:val="32"/>
          <w:lang w:val="en-US" w:eastAsia="zh-CN"/>
        </w:rPr>
      </w:pPr>
    </w:p>
    <w:p w14:paraId="2DB2009A">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eastAsia" w:ascii="仿宋_GB2312" w:hAnsi="仿宋_GB2312" w:eastAsia="仿宋_GB2312" w:cs="仿宋_GB2312"/>
          <w:b w:val="0"/>
          <w:bCs/>
          <w:color w:val="auto"/>
          <w:sz w:val="32"/>
          <w:szCs w:val="32"/>
          <w:lang w:val="en-US" w:eastAsia="zh-CN"/>
        </w:rPr>
      </w:pPr>
    </w:p>
    <w:p w14:paraId="152B2CDA">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eastAsia" w:ascii="仿宋_GB2312" w:hAnsi="仿宋_GB2312" w:eastAsia="仿宋_GB2312" w:cs="仿宋_GB2312"/>
          <w:b w:val="0"/>
          <w:bCs/>
          <w:color w:val="auto"/>
          <w:sz w:val="32"/>
          <w:szCs w:val="32"/>
          <w:lang w:val="en-US" w:eastAsia="zh-CN"/>
        </w:rPr>
      </w:pPr>
    </w:p>
    <w:p w14:paraId="5631721A">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eastAsia" w:ascii="仿宋_GB2312" w:hAnsi="仿宋_GB2312" w:eastAsia="仿宋_GB2312" w:cs="仿宋_GB2312"/>
          <w:b w:val="0"/>
          <w:bCs/>
          <w:color w:val="auto"/>
          <w:sz w:val="32"/>
          <w:szCs w:val="32"/>
          <w:lang w:val="en-US" w:eastAsia="zh-CN"/>
        </w:rPr>
      </w:pPr>
    </w:p>
    <w:p w14:paraId="4A8238AF">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560" w:lineRule="exact"/>
        <w:ind w:firstLine="640" w:firstLineChars="200"/>
        <w:textAlignment w:val="auto"/>
        <w:outlineLvl w:val="0"/>
        <w:rPr>
          <w:rFonts w:hint="default" w:ascii="仿宋_GB2312" w:hAnsi="仿宋_GB2312" w:eastAsia="仿宋_GB2312" w:cs="仿宋_GB2312"/>
          <w:b w:val="0"/>
          <w:bCs/>
          <w:color w:val="auto"/>
          <w:sz w:val="32"/>
          <w:szCs w:val="32"/>
          <w:lang w:val="en-US" w:eastAsia="zh-CN"/>
        </w:rPr>
      </w:pPr>
    </w:p>
    <w:p w14:paraId="0FDD80A0">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p w14:paraId="58A3A2CB">
      <w:pPr>
        <w:keepNext w:val="0"/>
        <w:keepLines w:val="0"/>
        <w:pageBreakBefore w:val="0"/>
        <w:widowControl w:val="0"/>
        <w:kinsoku/>
        <w:wordWrap/>
        <w:overflowPunct/>
        <w:topLinePunct w:val="0"/>
        <w:bidi w:val="0"/>
        <w:adjustRightInd w:val="0"/>
        <w:snapToGrid w:val="0"/>
        <w:spacing w:line="560" w:lineRule="exact"/>
        <w:ind w:left="0" w:leftChars="0" w:firstLine="883" w:firstLineChars="200"/>
        <w:textAlignment w:val="auto"/>
        <w:outlineLvl w:val="0"/>
        <w:rPr>
          <w:rFonts w:hint="eastAsia" w:ascii="方正小标宋简体" w:hAnsi="方正小标宋简体" w:eastAsia="方正小标宋简体" w:cs="方正小标宋简体"/>
          <w:b/>
          <w:color w:val="auto"/>
          <w:sz w:val="44"/>
          <w:szCs w:val="44"/>
          <w:lang w:val="en-US" w:eastAsia="zh-CN"/>
        </w:rPr>
      </w:pPr>
    </w:p>
    <w:bookmarkEnd w:id="0"/>
    <w:bookmarkEnd w:id="1"/>
    <w:bookmarkEnd w:id="2"/>
    <w:p w14:paraId="29965440">
      <w:pPr>
        <w:keepNext w:val="0"/>
        <w:keepLines w:val="0"/>
        <w:pageBreakBefore w:val="0"/>
        <w:widowControl w:val="0"/>
        <w:kinsoku/>
        <w:wordWrap/>
        <w:overflowPunct/>
        <w:topLinePunct w:val="0"/>
        <w:bidi w:val="0"/>
        <w:adjustRightInd w:val="0"/>
        <w:snapToGrid w:val="0"/>
        <w:spacing w:line="560" w:lineRule="exact"/>
        <w:textAlignment w:val="auto"/>
        <w:outlineLvl w:val="0"/>
        <w:rPr>
          <w:rFonts w:hint="eastAsia" w:ascii="Times New Roman" w:hAnsi="Times New Roman" w:eastAsia="黑体" w:cs="黑体"/>
          <w:bCs/>
          <w:color w:val="auto"/>
          <w:sz w:val="32"/>
          <w:szCs w:val="32"/>
          <w:highlight w:val="yellow"/>
          <w:lang w:eastAsia="zh-CN"/>
        </w:rPr>
      </w:pPr>
      <w:bookmarkStart w:id="3" w:name="_Toc1056"/>
      <w:bookmarkStart w:id="4" w:name="_Toc18930"/>
      <w:r>
        <w:rPr>
          <w:rFonts w:hint="eastAsia" w:ascii="Times New Roman" w:hAnsi="Times New Roman" w:eastAsia="黑体" w:cs="黑体"/>
          <w:bCs/>
          <w:color w:val="auto"/>
          <w:sz w:val="32"/>
          <w:szCs w:val="32"/>
          <w:lang w:val="en-US" w:eastAsia="zh-CN"/>
        </w:rPr>
        <w:t xml:space="preserve">    </w:t>
      </w:r>
      <w:r>
        <w:rPr>
          <w:rFonts w:hint="eastAsia" w:ascii="Times New Roman" w:hAnsi="Times New Roman" w:eastAsia="黑体" w:cs="黑体"/>
          <w:bCs/>
          <w:color w:val="auto"/>
          <w:sz w:val="32"/>
          <w:szCs w:val="32"/>
          <w:lang w:eastAsia="zh-CN"/>
        </w:rPr>
        <w:t>一</w:t>
      </w:r>
      <w:r>
        <w:rPr>
          <w:rFonts w:hint="eastAsia" w:ascii="Times New Roman" w:hAnsi="Times New Roman" w:eastAsia="黑体" w:cs="黑体"/>
          <w:bCs/>
          <w:color w:val="auto"/>
          <w:sz w:val="32"/>
          <w:szCs w:val="32"/>
        </w:rPr>
        <w:t>、</w:t>
      </w:r>
      <w:bookmarkEnd w:id="3"/>
      <w:bookmarkEnd w:id="4"/>
      <w:r>
        <w:rPr>
          <w:rFonts w:hint="eastAsia" w:ascii="Times New Roman" w:hAnsi="Times New Roman" w:eastAsia="黑体" w:cs="黑体"/>
          <w:bCs/>
          <w:color w:val="auto"/>
          <w:sz w:val="32"/>
          <w:szCs w:val="32"/>
        </w:rPr>
        <w:t>强化党建引领 厚植金融文化</w:t>
      </w:r>
    </w:p>
    <w:p w14:paraId="0C23C65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1" w:firstLineChars="200"/>
        <w:textAlignment w:val="auto"/>
        <w:outlineLvl w:val="1"/>
        <w:rPr>
          <w:rFonts w:hint="eastAsia" w:ascii="楷体_GB2312" w:hAnsi="楷体_GB2312" w:eastAsia="楷体_GB2312" w:cs="楷体_GB2312"/>
          <w:b/>
          <w:bCs/>
          <w:color w:val="auto"/>
          <w:sz w:val="32"/>
          <w:szCs w:val="32"/>
          <w:lang w:eastAsia="zh-CN"/>
        </w:rPr>
      </w:pPr>
      <w:bookmarkStart w:id="5" w:name="_Toc19569"/>
      <w:bookmarkStart w:id="6" w:name="_Toc12186"/>
      <w:r>
        <w:rPr>
          <w:rFonts w:hint="eastAsia" w:ascii="楷体_GB2312" w:hAnsi="楷体_GB2312" w:eastAsia="楷体_GB2312" w:cs="楷体_GB2312"/>
          <w:b/>
          <w:bCs/>
          <w:color w:val="auto"/>
          <w:sz w:val="32"/>
          <w:szCs w:val="32"/>
        </w:rPr>
        <w:t>（一）</w:t>
      </w:r>
      <w:bookmarkEnd w:id="5"/>
      <w:bookmarkEnd w:id="6"/>
      <w:r>
        <w:rPr>
          <w:rFonts w:hint="eastAsia" w:ascii="楷体_GB2312" w:hAnsi="楷体_GB2312" w:eastAsia="楷体_GB2312" w:cs="楷体_GB2312"/>
          <w:b/>
          <w:bCs/>
          <w:color w:val="auto"/>
          <w:sz w:val="32"/>
          <w:szCs w:val="32"/>
          <w:lang w:val="en-US" w:eastAsia="zh-CN"/>
        </w:rPr>
        <w:t>积极</w:t>
      </w:r>
      <w:r>
        <w:rPr>
          <w:rFonts w:hint="eastAsia" w:ascii="楷体_GB2312" w:hAnsi="楷体_GB2312" w:eastAsia="楷体_GB2312" w:cs="楷体_GB2312"/>
          <w:b/>
          <w:bCs/>
          <w:color w:val="auto"/>
          <w:sz w:val="32"/>
          <w:szCs w:val="32"/>
        </w:rPr>
        <w:t>开展党纪学习教育</w:t>
      </w:r>
    </w:p>
    <w:p w14:paraId="450C9E4A">
      <w:pPr>
        <w:keepNext w:val="0"/>
        <w:keepLines w:val="0"/>
        <w:pageBreakBefore w:val="0"/>
        <w:widowControl w:val="0"/>
        <w:kinsoku/>
        <w:wordWrap/>
        <w:overflowPunct/>
        <w:topLinePunct w:val="0"/>
        <w:bidi w:val="0"/>
        <w:adjustRightInd w:val="0"/>
        <w:snapToGrid w:val="0"/>
        <w:spacing w:line="560" w:lineRule="exact"/>
        <w:ind w:left="0" w:leftChars="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 xml:space="preserve">    烟台银行坚持把高起点、高标准、高质量开展党纪学习教育作为一项重大政治任务，科学部署、统筹谋划，强化理论学习，开展警示教育，做好调研督导，推进各项任务落实落细。层层召开党纪学习教育启动部署会议，成立工作专班，印发《烟台银行党纪学习教育方案》，明确目标要求和方法步骤；通过第一议题、理论学习中心组学习、“三会一课”、主题党日、专题读书班、演讲比赛等形式，深入学习《中国共产党纪律处分条例</w:t>
      </w:r>
      <w:r>
        <w:rPr>
          <w:rFonts w:hint="eastAsia" w:ascii="仿宋_GB2312" w:hAnsi="仿宋_GB2312" w:eastAsia="仿宋_GB2312" w:cs="仿宋_GB2312"/>
          <w:b w:val="0"/>
          <w:bCs/>
          <w:color w:val="auto"/>
          <w:kern w:val="0"/>
          <w:sz w:val="32"/>
          <w:szCs w:val="32"/>
          <w:highlight w:val="none"/>
          <w:lang w:val="en-US" w:eastAsia="zh-CN"/>
        </w:rPr>
        <w:t>》；通过观看警示教育片、赴廉政基地参观等开展警示教育，用“身边事”教育警示“身边人”；开展“三单”教育，通过各条线、各单位“点单”，纪检监察组“派单”，全行干部员工“评单”，增强培训的针对性和精准度；各条线结合业务实际，开展党纪法规专题培训，把党纪学习教育融入内控案防、风险防控、安全生产等方</w:t>
      </w:r>
      <w:r>
        <w:rPr>
          <w:rFonts w:hint="eastAsia" w:ascii="仿宋_GB2312" w:hAnsi="仿宋_GB2312" w:eastAsia="仿宋_GB2312" w:cs="仿宋_GB2312"/>
          <w:b w:val="0"/>
          <w:bCs/>
          <w:color w:val="auto"/>
          <w:kern w:val="0"/>
          <w:sz w:val="32"/>
          <w:szCs w:val="32"/>
          <w:lang w:val="en-US" w:eastAsia="zh-CN"/>
        </w:rPr>
        <w:t>面，推动学习成果转化为银行高质量发展的动力。</w:t>
      </w:r>
    </w:p>
    <w:p w14:paraId="57AE80FB">
      <w:pPr>
        <w:keepNext w:val="0"/>
        <w:keepLines w:val="0"/>
        <w:pageBreakBefore w:val="0"/>
        <w:widowControl w:val="0"/>
        <w:numPr>
          <w:ilvl w:val="0"/>
          <w:numId w:val="0"/>
        </w:numPr>
        <w:kinsoku/>
        <w:wordWrap/>
        <w:overflowPunct/>
        <w:topLinePunct w:val="0"/>
        <w:bidi w:val="0"/>
        <w:adjustRightInd w:val="0"/>
        <w:snapToGrid w:val="0"/>
        <w:spacing w:line="560" w:lineRule="exact"/>
        <w:ind w:left="0" w:leftChars="0"/>
        <w:textAlignment w:val="auto"/>
        <w:outlineLvl w:val="1"/>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lang w:val="en-US" w:eastAsia="zh-CN"/>
        </w:rPr>
        <w:t xml:space="preserve">    </w:t>
      </w:r>
      <w:bookmarkStart w:id="7" w:name="_Toc1087"/>
      <w:bookmarkStart w:id="8" w:name="_Toc30065"/>
      <w:r>
        <w:rPr>
          <w:rFonts w:hint="eastAsia" w:ascii="楷体_GB2312" w:hAnsi="楷体_GB2312" w:eastAsia="楷体_GB2312" w:cs="楷体_GB2312"/>
          <w:b/>
          <w:bCs/>
          <w:color w:val="auto"/>
          <w:sz w:val="32"/>
          <w:szCs w:val="32"/>
          <w:lang w:eastAsia="zh-CN"/>
        </w:rPr>
        <w:t>（二）</w:t>
      </w:r>
      <w:bookmarkEnd w:id="7"/>
      <w:bookmarkEnd w:id="8"/>
      <w:r>
        <w:rPr>
          <w:rFonts w:hint="eastAsia" w:ascii="楷体_GB2312" w:hAnsi="楷体_GB2312" w:eastAsia="楷体_GB2312" w:cs="楷体_GB2312"/>
          <w:b/>
          <w:bCs/>
          <w:color w:val="auto"/>
          <w:sz w:val="32"/>
          <w:szCs w:val="32"/>
          <w:lang w:eastAsia="zh-CN"/>
        </w:rPr>
        <w:t>推进金融文化建设</w:t>
      </w:r>
    </w:p>
    <w:p w14:paraId="51542BD2">
      <w:pPr>
        <w:keepNext w:val="0"/>
        <w:keepLines w:val="0"/>
        <w:pageBreakBefore w:val="0"/>
        <w:widowControl w:val="0"/>
        <w:tabs>
          <w:tab w:val="left" w:pos="520"/>
          <w:tab w:val="left" w:pos="2620"/>
          <w:tab w:val="left" w:pos="6300"/>
        </w:tabs>
        <w:kinsoku/>
        <w:wordWrap/>
        <w:overflowPunct/>
        <w:topLinePunct w:val="0"/>
        <w:autoSpaceDE w:val="0"/>
        <w:autoSpaceDN w:val="0"/>
        <w:bidi w:val="0"/>
        <w:adjustRightInd w:val="0"/>
        <w:spacing w:line="560" w:lineRule="exact"/>
        <w:ind w:left="0" w:leftChars="0" w:right="79" w:firstLine="640" w:firstLineChars="200"/>
        <w:jc w:val="left"/>
        <w:textAlignment w:val="auto"/>
        <w:rPr>
          <w:rFonts w:hint="eastAsia" w:ascii="Times New Roman" w:hAnsi="Times New Roman" w:eastAsia="黑体" w:cs="黑体"/>
          <w:bCs/>
          <w:color w:val="auto"/>
          <w:sz w:val="32"/>
          <w:szCs w:val="32"/>
          <w:lang w:val="en-US" w:eastAsia="zh-CN"/>
        </w:rPr>
      </w:pPr>
      <w:r>
        <w:rPr>
          <w:rFonts w:hint="eastAsia" w:ascii="仿宋_GB2312" w:hAnsi="仿宋_GB2312" w:eastAsia="仿宋_GB2312" w:cs="仿宋_GB2312"/>
          <w:b w:val="0"/>
          <w:bCs/>
          <w:color w:val="auto"/>
          <w:kern w:val="0"/>
          <w:sz w:val="32"/>
          <w:szCs w:val="32"/>
          <w:lang w:val="en-US" w:eastAsia="zh-CN"/>
        </w:rPr>
        <w:t>烟台银行积极践行中国特色金融文化，坚持以“五要五不”规范执业行为，推动高质量发展。同时，着力打造合规、清廉、绩效、家园“四种文化”，厚植文化沃土：一是深入打造合规文化。通过开展“制度规范巩固年”、流程梳理、专题培训等工作，树立“合规从高层做起、</w:t>
      </w:r>
      <w:r>
        <w:rPr>
          <w:rFonts w:hint="eastAsia" w:ascii="仿宋_GB2312" w:hAnsi="仿宋_GB2312" w:eastAsia="仿宋_GB2312" w:cs="仿宋_GB2312"/>
          <w:b w:val="0"/>
          <w:bCs/>
          <w:color w:val="auto"/>
          <w:kern w:val="0"/>
          <w:sz w:val="32"/>
          <w:szCs w:val="32"/>
          <w:highlight w:val="none"/>
          <w:lang w:val="en-US" w:eastAsia="zh-CN"/>
        </w:rPr>
        <w:t>全员合规、主动合规，合规就是生产力，风险是最大的成本”理念。二是深入打造清廉文化。</w:t>
      </w:r>
      <w:r>
        <w:rPr>
          <w:rFonts w:hint="eastAsia" w:ascii="仿宋_GB2312" w:hAnsi="仿宋_GB2312" w:eastAsia="仿宋_GB2312" w:cs="仿宋_GB2312"/>
          <w:bCs/>
          <w:color w:val="auto"/>
          <w:kern w:val="0"/>
          <w:sz w:val="32"/>
          <w:szCs w:val="32"/>
          <w:highlight w:val="none"/>
          <w:lang w:val="en-US" w:eastAsia="zh-CN"/>
        </w:rPr>
        <w:t>抓好“线上+线下”廉政教育</w:t>
      </w:r>
      <w:r>
        <w:rPr>
          <w:rFonts w:hint="eastAsia" w:ascii="仿宋_GB2312" w:hAnsi="仿宋_GB2312" w:eastAsia="仿宋_GB2312" w:cs="仿宋_GB2312"/>
          <w:b w:val="0"/>
          <w:bCs/>
          <w:color w:val="auto"/>
          <w:kern w:val="0"/>
          <w:sz w:val="32"/>
          <w:szCs w:val="32"/>
          <w:highlight w:val="none"/>
          <w:lang w:val="en-US" w:eastAsia="zh-CN"/>
        </w:rPr>
        <w:t>，通过组织线上答题、讲授廉政党课、编发廉政教育材料、</w:t>
      </w:r>
      <w:r>
        <w:rPr>
          <w:rFonts w:hint="eastAsia" w:ascii="仿宋_GB2312" w:hAnsi="仿宋_GB2312" w:eastAsia="仿宋_GB2312" w:cs="仿宋_GB2312"/>
          <w:bCs/>
          <w:color w:val="auto"/>
          <w:kern w:val="0"/>
          <w:sz w:val="32"/>
          <w:szCs w:val="32"/>
          <w:highlight w:val="none"/>
          <w:lang w:val="en-US" w:eastAsia="zh-CN"/>
        </w:rPr>
        <w:t>对</w:t>
      </w:r>
      <w:r>
        <w:rPr>
          <w:rFonts w:hint="eastAsia" w:ascii="仿宋_GB2312" w:hAnsi="仿宋_GB2312" w:eastAsia="仿宋_GB2312" w:cs="仿宋_GB2312"/>
          <w:bCs/>
          <w:color w:val="auto"/>
          <w:kern w:val="0"/>
          <w:sz w:val="32"/>
          <w:szCs w:val="32"/>
          <w:highlight w:val="none"/>
        </w:rPr>
        <w:t>新入职、新提拔等人员廉政教育</w:t>
      </w:r>
      <w:r>
        <w:rPr>
          <w:rFonts w:hint="eastAsia" w:ascii="仿宋_GB2312" w:hAnsi="仿宋_GB2312" w:eastAsia="仿宋_GB2312" w:cs="仿宋_GB2312"/>
          <w:bCs/>
          <w:color w:val="auto"/>
          <w:kern w:val="0"/>
          <w:sz w:val="32"/>
          <w:szCs w:val="32"/>
          <w:highlight w:val="none"/>
          <w:lang w:val="en-US" w:eastAsia="zh-CN"/>
        </w:rPr>
        <w:t>等方式，</w:t>
      </w:r>
      <w:r>
        <w:rPr>
          <w:rFonts w:hint="eastAsia" w:ascii="仿宋_GB2312" w:hAnsi="仿宋_GB2312" w:eastAsia="仿宋_GB2312" w:cs="仿宋_GB2312"/>
          <w:b w:val="0"/>
          <w:bCs/>
          <w:color w:val="auto"/>
          <w:kern w:val="0"/>
          <w:sz w:val="32"/>
          <w:szCs w:val="32"/>
          <w:highlight w:val="none"/>
          <w:lang w:val="en-US" w:eastAsia="zh-CN"/>
        </w:rPr>
        <w:t>持续擦亮“风清气正 家和业兴”的清廉文化品牌。三是深入打造绩效文化。完善考核</w:t>
      </w:r>
      <w:r>
        <w:rPr>
          <w:rFonts w:hint="eastAsia" w:ascii="仿宋_GB2312" w:hAnsi="仿宋_GB2312" w:eastAsia="仿宋_GB2312" w:cs="仿宋_GB2312"/>
          <w:b w:val="0"/>
          <w:bCs/>
          <w:color w:val="auto"/>
          <w:kern w:val="0"/>
          <w:sz w:val="32"/>
          <w:szCs w:val="32"/>
          <w:lang w:val="en-US" w:eastAsia="zh-CN"/>
        </w:rPr>
        <w:t>考评、薪酬分配等激励机制，营造“人人拼业绩 事事比绩效”的争先氛围。四是深入打造家园文化。开展节日慰问、困难帮扶等员工关爱活动，举办妇女节主题活动、“五四”主题团日、学雷锋志愿服务、阅读分享、健步走、青年联谊、运动友谊赛等活动，并实施员工入职、新婚、生育“三大仪式”，打造具有强大凝聚力、“有温度”的银行。</w:t>
      </w:r>
    </w:p>
    <w:p w14:paraId="1EBA57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jc w:val="both"/>
        <w:textAlignment w:val="auto"/>
        <w:outlineLvl w:val="0"/>
        <w:rPr>
          <w:rFonts w:hint="default" w:ascii="Times New Roman" w:hAnsi="Times New Roman" w:eastAsia="黑体" w:cs="黑体"/>
          <w:bCs/>
          <w:color w:val="auto"/>
          <w:sz w:val="32"/>
          <w:szCs w:val="32"/>
          <w:lang w:val="en-US" w:eastAsia="zh-CN"/>
        </w:rPr>
      </w:pPr>
      <w:bookmarkStart w:id="9" w:name="_Toc8927"/>
      <w:r>
        <w:rPr>
          <w:rFonts w:hint="eastAsia" w:ascii="Times New Roman" w:hAnsi="Times New Roman" w:eastAsia="黑体" w:cs="黑体"/>
          <w:bCs/>
          <w:color w:val="auto"/>
          <w:sz w:val="32"/>
          <w:szCs w:val="32"/>
          <w:lang w:val="en-US" w:eastAsia="zh-CN"/>
        </w:rPr>
        <w:t xml:space="preserve">    </w:t>
      </w:r>
      <w:bookmarkStart w:id="10" w:name="_Toc26386"/>
      <w:r>
        <w:rPr>
          <w:rFonts w:hint="eastAsia" w:ascii="Times New Roman" w:hAnsi="Times New Roman" w:eastAsia="黑体" w:cs="黑体"/>
          <w:bCs/>
          <w:color w:val="auto"/>
          <w:sz w:val="32"/>
          <w:szCs w:val="32"/>
          <w:lang w:val="en-US" w:eastAsia="zh-CN"/>
        </w:rPr>
        <w:t>二、</w:t>
      </w:r>
      <w:bookmarkEnd w:id="9"/>
      <w:bookmarkEnd w:id="10"/>
      <w:r>
        <w:rPr>
          <w:rFonts w:hint="eastAsia" w:ascii="Times New Roman" w:hAnsi="Times New Roman" w:eastAsia="黑体" w:cs="黑体"/>
          <w:bCs/>
          <w:color w:val="auto"/>
          <w:sz w:val="32"/>
          <w:szCs w:val="32"/>
          <w:lang w:val="en-US" w:eastAsia="zh-CN"/>
        </w:rPr>
        <w:t>锚定战略大局 服务新动能新优势</w:t>
      </w:r>
    </w:p>
    <w:p w14:paraId="072310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rightChars="0" w:firstLine="641" w:firstLineChars="200"/>
        <w:jc w:val="both"/>
        <w:textAlignment w:val="auto"/>
        <w:outlineLvl w:val="9"/>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（一）金融助力黄河战略、新旧动能转换</w:t>
      </w:r>
    </w:p>
    <w:p w14:paraId="39379F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根据《烟台银保监分局转发山东银保监局关于印发推进辖区银行业保险业服务黄河流域生态保护和高质量发展指导意见的通知》（烟银保监发〔2021〕26号）的工作要求，制定《烟台银行服务黄河流域生态保护和高质量发展实施方案》，成立落实工作领导小组，明确主要任务及各部门责任分工，持续推进金融支持黄河流域生态保护和高质量发展相关工作。截至2024年末，烟台银行金融支持黄河流域贷款余额2.68亿元。</w:t>
      </w:r>
    </w:p>
    <w:p w14:paraId="5F4B0AA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一是加强信贷政策支持。发挥该行短、平、快的决策优势，加大对地方支柱型产业信贷支持力度，重点支持地方政府引导发展型产业，重点推进区域内核心产业内的龙头企业。以东营市重点构建的“5+2+2”产业体系为发展指引，积极拓展现代高效农业、文化旅游两大特色以及生物医药、航空航天两大未来产业内重点培育企业。实行名单制管理，快速推进名单内企业授信落地见效，推动黄河流域高质量发展。</w:t>
      </w:r>
    </w:p>
    <w:p w14:paraId="3700526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二是围绕五篇大文章“筑基赋能”，创新发展。持续围绕《关于贯彻稳健货币政策支持山东省黄河流域生态保护和高质量发展的意见》文件要求，及时了解市场动态、行业变化、同业产品信息和客户需求，加强对民营、小微、个体工商户的支持，对五篇大文章重点领域加大工作力度，通过创新金融产品、打造金融服务队伍、提升融资效率等综合服务，为不同类型的企业提供针对性的融资方案，助力黄河流域企业高质量发展。截至2024年末，东营分行普惠贷款余额6.88亿元，较年初新增3.36亿元，增速95.45%；绿色信贷余额0.61亿元，较年初新增0.51亿元，增幅510%；涉农贷款余额3.44亿元，较年初新增1.86亿元，增幅118.47%；科技金融类企业贷款余额4.15亿元，较年初新增2.07亿元，增幅99.52%。</w:t>
      </w:r>
    </w:p>
    <w:p w14:paraId="4F68831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三是加强信贷政策支持。该行在对接新旧动能转换工作以新的信贷政策为导向，通过分类分策的实施，加大推动产业升级工作。具体来说，就是根据烟台市的产业政策和本行的实际情况有效结合，重点对接烟台市新旧动能转换重点产业，如海工装备、核电装备、新材料、旅游、现代农业等。在信贷资源和贷款规模的安排、准入和审批、利率定价和担保要求等各个方面予以优惠。在信贷政策方面，由信贷审批部门梳理新旧动能转换相关文件，出台全行性的信贷指导意见，在防范信贷风险的基础上，加快审批效率，重点支持涉及新旧动能转换的行业、企业，全面支持省政府的新旧动能转换重大工程。该行目前已对接新旧动能转换重大工程10个，贷款余额5.16亿元。</w:t>
      </w:r>
    </w:p>
    <w:p w14:paraId="76AE24B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四是强化企业走访对接工作。该行将积极主动地按照监管部门的工作部署，协调组织总行各相关部门和全部支行深入开展“百行进万企”活动，并切实将活动落实到实处。在工作计划安排、信息反馈、问题处置等各方面按照工作要求进行不断的督导、协调和检查。各支行也通过活动与企业、项目和园区进行对接，推动“百行进万企”活动的不断深入开展。</w:t>
      </w:r>
    </w:p>
    <w:p w14:paraId="775A64E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仿宋_GB2312" w:hAnsi="仿宋_GB2312" w:eastAsia="仿宋_GB2312" w:cs="仿宋_GB2312"/>
          <w:b w:val="0"/>
          <w:bCs/>
          <w:color w:val="auto"/>
          <w:kern w:val="0"/>
          <w:sz w:val="32"/>
          <w:szCs w:val="32"/>
          <w:lang w:val="en-US" w:eastAsia="zh-CN"/>
        </w:rPr>
      </w:pPr>
      <w:r>
        <w:rPr>
          <w:rFonts w:hint="default" w:ascii="仿宋_GB2312" w:hAnsi="仿宋_GB2312" w:eastAsia="仿宋_GB2312" w:cs="仿宋_GB2312"/>
          <w:b w:val="0"/>
          <w:bCs/>
          <w:color w:val="auto"/>
          <w:kern w:val="0"/>
          <w:sz w:val="32"/>
          <w:szCs w:val="32"/>
          <w:lang w:val="en-US" w:eastAsia="zh-CN"/>
        </w:rPr>
        <w:t>五是积极创新，增强新旧动能转换“新动力”。该行作为城商行，在现代金融业的新旧动能转换方面，在近几年来一直持续发力，主要是根据金融市场的发展和本行的实际情况结合，不断探索和实施管理机制和经营机制的改革工作，并以转型发展作为各项工作的指引和发展新动力。该行加快金融产品改革转型和创新发展，不断创新业务品种，相继推出 “惠农贷”、 “增额贷”、 “农家乐”、 “助业微贷” “科技贷”、“快易贷”、“税融贷”、战“疫”快贷等业务，多样的产品满足了企业客户不同业务需要，得到了客户的肯定。该行积极与税务部门合作，开展“银税互动”活动，并于2015年12月分别与国税、地税部门签订框架合作协议，同时针对诚信纳税的小微企业推出了“税融贷”产品，开启了我市银税联手支持地方经济增长、助力小微企业发展的合作新模式。</w:t>
      </w:r>
    </w:p>
    <w:p w14:paraId="0BB968C9">
      <w:pPr>
        <w:adjustRightInd w:val="0"/>
        <w:snapToGrid w:val="0"/>
        <w:spacing w:line="560" w:lineRule="exact"/>
        <w:ind w:firstLine="641" w:firstLineChars="200"/>
        <w:outlineLvl w:val="1"/>
        <w:rPr>
          <w:rFonts w:hint="eastAsia" w:ascii="楷体_GB2312" w:hAnsi="楷体_GB2312" w:eastAsia="楷体_GB2312" w:cs="楷体_GB2312"/>
          <w:b/>
          <w:bCs/>
          <w:color w:val="auto"/>
          <w:sz w:val="32"/>
          <w:szCs w:val="32"/>
          <w:lang w:eastAsia="zh-CN"/>
        </w:rPr>
      </w:pPr>
      <w:bookmarkStart w:id="11" w:name="_Toc16655"/>
      <w:bookmarkStart w:id="12" w:name="_Toc28704"/>
      <w:bookmarkStart w:id="13" w:name="_Toc14095"/>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支持民营经济发展</w:t>
      </w:r>
    </w:p>
    <w:bookmarkEnd w:id="11"/>
    <w:bookmarkEnd w:id="12"/>
    <w:bookmarkEnd w:id="13"/>
    <w:p w14:paraId="4C5132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该行立足金融工作的政治性、人民性、专业性，该行始终坚持以习近平新时代中国特色社会主义思想为指导，深入践行中央金融工作会议精神，紧密围绕市委、市政府“1+233”工作体系和“12335”中心城区建设格局，坚守“服务地方经济、服务中小企业、服务城乡居民”的市场定位，以体制机制创新为动力，借助数字化手段，紧密围绕烟台市经济社会发展主基调，充分发挥自身优势，开展本土化、差异化的金融服务，不断提升金融服务民营经济的效能。截至2024年12月末，民营贷款余额284.17亿元，较年初增加22.87亿元，增幅8.75%。</w:t>
      </w:r>
    </w:p>
    <w:p w14:paraId="05B26F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一、加快金融服务体系的转型升级，以高质量发展为区域经济赋能</w:t>
      </w:r>
    </w:p>
    <w:p w14:paraId="21F42C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聚焦地方发展规划，深入研究区域经济特点，加强区域机构的统筹管理和客户对接，总分支联动协作，做好对民营经济中的重点项目、重点产业链、产业集群、先进制造业、新质生产力，以及“五篇大文章”等重点领域的金融支持。截至2024年末，普惠贷款余额103.55亿元，较年初增加15.58亿元，增速17.71%；涉农贷款余额203.77亿元，较年初增加31.2亿元，增幅18.07%；制造业贷款余额97.39亿元，较年初增加21.1亿元，增幅27.65%；科技企业贷款余额64.48亿元，较年初增长26.22亿元，增幅68.51%；绿色贷款余额24.55亿元，较年初增长16.5亿元，增幅204.97%。</w:t>
      </w:r>
    </w:p>
    <w:p w14:paraId="5624E1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二、加强顶层设计，实施专项行动</w:t>
      </w:r>
    </w:p>
    <w:p w14:paraId="2B9EBE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为深入贯彻党的二十大精神，全面落实党中央、国务院和省委、省政府关于推动民营经济高质量发展的部署要求，2023年以来，该行制定及发布了《烟台银行“齐心鲁力·助企惠商”金融支持民营小微企业和个体工商户发展三年提升专项行动实施方案》《烟台银行“强化金融支持举措 助力民营经济发展壮大”活动实施方案》《烟台银行“走万企 提信心 优服务”活动实施方案》《烟台银行高管走基层“十百千万”活动实施方案》《烟台银行“五篇大文章”金融服务工作方案》等重要文件，并加紧推进实施专项行动，提升加大对民营经济的信贷支持力度。</w:t>
      </w:r>
    </w:p>
    <w:p w14:paraId="401C7B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三、加快研发创新，提升金融服务效能</w:t>
      </w:r>
    </w:p>
    <w:p w14:paraId="150AEB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近年来，该行持续完善产品体系，进一步拓展民营企业信贷资金获得面。该行于2024年6月成立产品研发部，紧密围绕战略目标，深入开展产品体系规划、调查研究、产品创设、场景建设等工作，截至目前，已发布《科技型企业全周期总体金融服务方案》及《“喜旺采购贷”产品方案》，创设“法人账户透支”产品，形成“烟草贷</w:t>
      </w:r>
      <w:r>
        <w:rPr>
          <w:rFonts w:hint="eastAsia" w:ascii="仿宋_GB2312" w:hAnsi="仿宋_GB2312" w:eastAsia="仿宋_GB2312" w:cs="仿宋_GB2312"/>
          <w:b w:val="0"/>
          <w:bCs/>
          <w:color w:val="auto"/>
          <w:kern w:val="0"/>
          <w:sz w:val="32"/>
          <w:szCs w:val="32"/>
          <w:highlight w:val="none"/>
          <w:lang w:val="en-US" w:eastAsia="zh-CN"/>
        </w:rPr>
        <w:t>”“扇贝贷”“</w:t>
      </w:r>
      <w:r>
        <w:rPr>
          <w:rFonts w:hint="eastAsia" w:ascii="仿宋_GB2312" w:hAnsi="仿宋_GB2312" w:eastAsia="仿宋_GB2312" w:cs="仿宋_GB2312"/>
          <w:b w:val="0"/>
          <w:bCs/>
          <w:color w:val="auto"/>
          <w:kern w:val="0"/>
          <w:sz w:val="32"/>
          <w:szCs w:val="32"/>
          <w:lang w:val="en-US" w:eastAsia="zh-CN"/>
        </w:rPr>
        <w:t>生猪贷”等产品方案和《出口退税场景专项业务方案》，极大地提升了该行金融服务的针对性与有效性。针对企业无传统抵押物的问题，该行积极创新抵质押方式，利用交通运输工具抵押、知识产权质押、海域使用权抵押等方式为民营企业增信，并降低费率，畅通民营贷款风险缓释渠道，支持企业发展。</w:t>
      </w:r>
    </w:p>
    <w:p w14:paraId="7D357E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四、主动做好资金接续服务</w:t>
      </w:r>
    </w:p>
    <w:p w14:paraId="4EEEB9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充分贯彻落实国家金融监督管理总局关于做好续贷工作，提高小微企业金融服务水平的政策精神。进一步完善续贷产品，对贷款到期后仍有融资需求，又临时存在资金困难的民营企业，经其主动申请，按照市场化、法治化原则，提前开展贷款调查和评审，经审核合格后办理续贷。</w:t>
      </w:r>
    </w:p>
    <w:p w14:paraId="37D208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五、强化金融工具运用，降低民营企业融资成本</w:t>
      </w:r>
    </w:p>
    <w:p w14:paraId="666BBD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运用好支农支小再贷款、碳减排支持工具等货币政策，将推进各项结构性货币政策资金快速落地、支持民营企业作为一项重要任务，快速行动，及时对接，力求实效。合理通过政策性工具的杠杆作用，有效加大小微企业信贷投放，使得小微信贷的覆盖面和可得性得到进一步提高，同时将再贷款优惠利率传导到民营小微企业，降低民营小微企业融资成本。</w:t>
      </w:r>
    </w:p>
    <w:p w14:paraId="504A8764">
      <w:pPr>
        <w:keepNext w:val="0"/>
        <w:keepLines w:val="0"/>
        <w:pageBreakBefore w:val="0"/>
        <w:widowControl w:val="0"/>
        <w:kinsoku/>
        <w:wordWrap/>
        <w:overflowPunct/>
        <w:topLinePunct w:val="0"/>
        <w:bidi w:val="0"/>
        <w:adjustRightInd w:val="0"/>
        <w:snapToGrid w:val="0"/>
        <w:spacing w:line="560" w:lineRule="exact"/>
        <w:ind w:left="0" w:leftChars="0" w:firstLine="641" w:firstLineChars="200"/>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（三）</w:t>
      </w:r>
      <w:bookmarkStart w:id="14" w:name="_Toc8288"/>
      <w:bookmarkStart w:id="15" w:name="_Toc12283"/>
      <w:r>
        <w:rPr>
          <w:rFonts w:hint="eastAsia" w:ascii="楷体_GB2312" w:hAnsi="楷体_GB2312" w:eastAsia="楷体_GB2312" w:cs="楷体_GB2312"/>
          <w:b/>
          <w:bCs/>
          <w:color w:val="auto"/>
          <w:sz w:val="32"/>
          <w:szCs w:val="32"/>
          <w:lang w:eastAsia="zh-CN"/>
        </w:rPr>
        <w:t>支持房地产市场平稳健康发展</w:t>
      </w:r>
      <w:bookmarkEnd w:id="14"/>
      <w:bookmarkEnd w:id="15"/>
    </w:p>
    <w:p w14:paraId="0551662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left"/>
        <w:textAlignment w:val="auto"/>
        <w:outlineLvl w:val="9"/>
        <w:rPr>
          <w:rFonts w:hint="eastAsia" w:ascii="仿宋_GB2312" w:hAnsi="仿宋_GB2312" w:eastAsia="仿宋_GB2312" w:cs="仿宋_GB2312"/>
          <w:bCs/>
          <w:color w:val="auto"/>
          <w:kern w:val="0"/>
          <w:sz w:val="32"/>
          <w:szCs w:val="32"/>
          <w:lang w:val="en-US" w:eastAsia="zh-CN"/>
        </w:rPr>
      </w:pPr>
      <w:bookmarkStart w:id="16" w:name="_Toc7332"/>
      <w:r>
        <w:rPr>
          <w:rFonts w:hint="eastAsia" w:ascii="仿宋_GB2312" w:hAnsi="仿宋_GB2312" w:eastAsia="仿宋_GB2312" w:cs="仿宋_GB2312"/>
          <w:bCs/>
          <w:color w:val="auto"/>
          <w:kern w:val="0"/>
          <w:sz w:val="32"/>
          <w:szCs w:val="32"/>
          <w:lang w:val="en-US" w:eastAsia="zh-CN"/>
        </w:rPr>
        <w:t>截至2024年末，该行共支持房地产“白名单”扩围增效后项目14个，授信总额13.68亿元，解决了相关房地产企业燃眉之急，为烟台市房地产市场“止跌回稳”贡献了金融力量，得到了烟台市政府的表扬和肯定。2025年1月24日烟台市住房和城乡建设局烟台市保交房工作机制办公室将该行做为先进单位，并给予通报表扬。</w:t>
      </w:r>
      <w:bookmarkStart w:id="17" w:name="_Toc22231"/>
    </w:p>
    <w:p w14:paraId="59C9CD6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Times New Roman" w:hAnsi="Times New Roman" w:eastAsia="黑体" w:cs="黑体"/>
          <w:bCs/>
          <w:color w:val="auto"/>
          <w:sz w:val="32"/>
          <w:szCs w:val="32"/>
          <w:highlight w:val="yellow"/>
        </w:rPr>
      </w:pPr>
      <w:r>
        <w:rPr>
          <w:rFonts w:hint="eastAsia" w:ascii="Times New Roman" w:hAnsi="Times New Roman" w:eastAsia="黑体" w:cs="黑体"/>
          <w:bCs/>
          <w:color w:val="auto"/>
          <w:sz w:val="32"/>
          <w:szCs w:val="32"/>
          <w:highlight w:val="none"/>
          <w:lang w:val="en-US" w:eastAsia="zh-CN"/>
        </w:rPr>
        <w:t>三</w:t>
      </w:r>
      <w:r>
        <w:rPr>
          <w:rFonts w:hint="eastAsia" w:ascii="Times New Roman" w:hAnsi="Times New Roman" w:eastAsia="黑体" w:cs="黑体"/>
          <w:bCs/>
          <w:color w:val="auto"/>
          <w:sz w:val="32"/>
          <w:szCs w:val="32"/>
          <w:highlight w:val="none"/>
          <w:lang w:eastAsia="zh-CN"/>
        </w:rPr>
        <w:t>、</w:t>
      </w:r>
      <w:bookmarkEnd w:id="16"/>
      <w:bookmarkEnd w:id="17"/>
      <w:r>
        <w:rPr>
          <w:rFonts w:hint="eastAsia" w:ascii="Times New Roman" w:hAnsi="Times New Roman" w:eastAsia="黑体" w:cs="黑体"/>
          <w:bCs/>
          <w:color w:val="auto"/>
          <w:sz w:val="32"/>
          <w:szCs w:val="32"/>
          <w:highlight w:val="none"/>
          <w:lang w:eastAsia="zh-CN"/>
        </w:rPr>
        <w:t>发展科技金融 助推新质生产力</w:t>
      </w:r>
    </w:p>
    <w:p w14:paraId="1B0AE803">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textAlignment w:val="auto"/>
        <w:rPr>
          <w:rFonts w:hint="eastAsia" w:ascii="楷体_GB2312" w:hAnsi="楷体_GB2312" w:eastAsia="楷体_GB2312" w:cs="楷体_GB2312"/>
          <w:b/>
          <w:bCs w:val="0"/>
          <w:color w:val="auto"/>
          <w:kern w:val="0"/>
          <w:sz w:val="32"/>
          <w:szCs w:val="32"/>
          <w:lang w:val="en-US" w:eastAsia="zh-CN"/>
        </w:rPr>
      </w:pPr>
      <w:bookmarkStart w:id="18" w:name="_Toc23634"/>
      <w:r>
        <w:rPr>
          <w:rFonts w:hint="eastAsia" w:ascii="楷体_GB2312" w:hAnsi="楷体_GB2312" w:eastAsia="楷体_GB2312" w:cs="楷体_GB2312"/>
          <w:b/>
          <w:bCs w:val="0"/>
          <w:color w:val="auto"/>
          <w:kern w:val="0"/>
          <w:sz w:val="32"/>
          <w:szCs w:val="32"/>
          <w:lang w:val="en-US" w:eastAsia="zh-CN"/>
        </w:rPr>
        <w:t>（一）完善科技金融管理体制机制配套建设</w:t>
      </w:r>
    </w:p>
    <w:p w14:paraId="115E2FC4">
      <w:pPr>
        <w:adjustRightInd w:val="0"/>
        <w:snapToGrid w:val="0"/>
        <w:spacing w:line="56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一是建立科技特色支行。</w:t>
      </w:r>
      <w:r>
        <w:rPr>
          <w:rFonts w:hint="eastAsia" w:ascii="仿宋_GB2312" w:hAnsi="仿宋_GB2312" w:eastAsia="仿宋_GB2312" w:cs="仿宋_GB2312"/>
          <w:bCs/>
          <w:color w:val="auto"/>
          <w:kern w:val="0"/>
          <w:sz w:val="32"/>
          <w:szCs w:val="32"/>
          <w:lang w:eastAsia="zh-CN"/>
        </w:rPr>
        <w:t>该行将</w:t>
      </w:r>
      <w:r>
        <w:rPr>
          <w:rFonts w:hint="eastAsia" w:ascii="仿宋_GB2312" w:hAnsi="仿宋_GB2312" w:eastAsia="仿宋_GB2312" w:cs="仿宋_GB2312"/>
          <w:bCs/>
          <w:color w:val="auto"/>
          <w:kern w:val="0"/>
          <w:sz w:val="32"/>
          <w:szCs w:val="32"/>
        </w:rPr>
        <w:t>高新区支行设立</w:t>
      </w:r>
      <w:r>
        <w:rPr>
          <w:rFonts w:hint="eastAsia" w:ascii="仿宋_GB2312" w:hAnsi="仿宋_GB2312" w:eastAsia="仿宋_GB2312" w:cs="仿宋_GB2312"/>
          <w:bCs/>
          <w:color w:val="auto"/>
          <w:kern w:val="0"/>
          <w:sz w:val="32"/>
          <w:szCs w:val="32"/>
          <w:lang w:eastAsia="zh-CN"/>
        </w:rPr>
        <w:t>为</w:t>
      </w:r>
      <w:r>
        <w:rPr>
          <w:rFonts w:hint="eastAsia" w:ascii="仿宋_GB2312" w:hAnsi="仿宋_GB2312" w:eastAsia="仿宋_GB2312" w:cs="仿宋_GB2312"/>
          <w:bCs/>
          <w:color w:val="auto"/>
          <w:kern w:val="0"/>
          <w:sz w:val="32"/>
          <w:szCs w:val="32"/>
        </w:rPr>
        <w:t>科技特色支行，旨在推进金融与科技的深度融合，通过整合政府、园区、银行、担保、券商、创投等资源，借助创新的产品和服务，为各类科技企业提供专业化、个性化、特色化的金融服务。</w:t>
      </w:r>
    </w:p>
    <w:p w14:paraId="34D6FB1E">
      <w:pPr>
        <w:adjustRightInd w:val="0"/>
        <w:snapToGrid w:val="0"/>
        <w:spacing w:line="56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二是对科创企业信贷实施差异化管理。</w:t>
      </w:r>
      <w:r>
        <w:rPr>
          <w:rFonts w:hint="eastAsia" w:ascii="仿宋_GB2312" w:hAnsi="仿宋_GB2312" w:eastAsia="仿宋_GB2312" w:cs="仿宋_GB2312"/>
          <w:bCs/>
          <w:color w:val="auto"/>
          <w:kern w:val="0"/>
          <w:sz w:val="32"/>
          <w:szCs w:val="32"/>
          <w:lang w:eastAsia="zh-CN"/>
        </w:rPr>
        <w:t>该行</w:t>
      </w:r>
      <w:r>
        <w:rPr>
          <w:rFonts w:hint="eastAsia" w:ascii="仿宋_GB2312" w:hAnsi="仿宋_GB2312" w:eastAsia="仿宋_GB2312" w:cs="仿宋_GB2312"/>
          <w:bCs/>
          <w:color w:val="auto"/>
          <w:kern w:val="0"/>
          <w:sz w:val="32"/>
          <w:szCs w:val="32"/>
        </w:rPr>
        <w:t>从董事长到班子成员，高度重视支持地方经济、扶持中小微企业，尤其是科技型企业的发展。每年的授信政策中，在客户准入、授信审批、利率定价等方面，均向小微企业和科技型企业倾斜，开通绿色通道，对科技型企业优先支持。</w:t>
      </w:r>
      <w:r>
        <w:rPr>
          <w:rFonts w:hint="eastAsia" w:ascii="仿宋_GB2312" w:hAnsi="仿宋_GB2312" w:eastAsia="仿宋_GB2312" w:cs="仿宋_GB2312"/>
          <w:bCs/>
          <w:color w:val="auto"/>
          <w:kern w:val="0"/>
          <w:sz w:val="32"/>
          <w:szCs w:val="32"/>
          <w:lang w:eastAsia="zh-CN"/>
        </w:rPr>
        <w:t>通过</w:t>
      </w:r>
      <w:r>
        <w:rPr>
          <w:rFonts w:hint="eastAsia" w:ascii="仿宋_GB2312" w:hAnsi="仿宋_GB2312" w:eastAsia="仿宋_GB2312" w:cs="仿宋_GB2312"/>
          <w:bCs/>
          <w:color w:val="auto"/>
          <w:kern w:val="0"/>
          <w:sz w:val="32"/>
          <w:szCs w:val="32"/>
        </w:rPr>
        <w:t>设立单独的科技型企业准入标准</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让部分没有房地产抵押、不符合传统信贷标准的科技型小企业也有获得银行贷款的机会</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建立高效科技信贷服务机制</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用“三个专业”，打造高效、优质、全面的科技金融服务</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对科技型企业融资开通绿色通道</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快速有效缓解企业资金压力，资料齐全1-3个工作日可审批完毕，使科技型企业在</w:t>
      </w:r>
      <w:r>
        <w:rPr>
          <w:rFonts w:hint="eastAsia" w:ascii="仿宋_GB2312" w:hAnsi="仿宋_GB2312" w:eastAsia="仿宋_GB2312" w:cs="仿宋_GB2312"/>
          <w:bCs/>
          <w:color w:val="auto"/>
          <w:kern w:val="0"/>
          <w:sz w:val="32"/>
          <w:szCs w:val="32"/>
          <w:lang w:eastAsia="zh-CN"/>
        </w:rPr>
        <w:t>该行</w:t>
      </w:r>
      <w:r>
        <w:rPr>
          <w:rFonts w:hint="eastAsia" w:ascii="仿宋_GB2312" w:hAnsi="仿宋_GB2312" w:eastAsia="仿宋_GB2312" w:cs="仿宋_GB2312"/>
          <w:bCs/>
          <w:color w:val="auto"/>
          <w:kern w:val="0"/>
          <w:sz w:val="32"/>
          <w:szCs w:val="32"/>
        </w:rPr>
        <w:t>办理融资高效快捷</w:t>
      </w:r>
      <w:r>
        <w:rPr>
          <w:rFonts w:hint="eastAsia" w:ascii="仿宋_GB2312" w:hAnsi="仿宋_GB2312" w:eastAsia="仿宋_GB2312" w:cs="仿宋_GB2312"/>
          <w:bCs/>
          <w:color w:val="auto"/>
          <w:kern w:val="0"/>
          <w:sz w:val="32"/>
          <w:szCs w:val="32"/>
          <w:lang w:eastAsia="zh-CN"/>
        </w:rPr>
        <w:t>。</w:t>
      </w:r>
    </w:p>
    <w:p w14:paraId="0BC7E42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bCs/>
          <w:color w:val="auto"/>
          <w:kern w:val="0"/>
          <w:sz w:val="32"/>
          <w:szCs w:val="32"/>
        </w:rPr>
        <w:t>三是开展“科信贷”“ 成果贷”方面工作。为支持我市科技型企业发展，满足企业多样化融资需求，促进科技成果转化，</w:t>
      </w:r>
      <w:r>
        <w:rPr>
          <w:rFonts w:hint="eastAsia" w:ascii="仿宋_GB2312" w:hAnsi="仿宋_GB2312" w:eastAsia="仿宋_GB2312" w:cs="仿宋_GB2312"/>
          <w:bCs/>
          <w:color w:val="auto"/>
          <w:kern w:val="0"/>
          <w:sz w:val="32"/>
          <w:szCs w:val="32"/>
          <w:lang w:eastAsia="zh-CN"/>
        </w:rPr>
        <w:t>该行</w:t>
      </w:r>
      <w:r>
        <w:rPr>
          <w:rFonts w:hint="eastAsia" w:ascii="仿宋_GB2312" w:hAnsi="仿宋_GB2312" w:eastAsia="仿宋_GB2312" w:cs="仿宋_GB2312"/>
          <w:bCs/>
          <w:color w:val="auto"/>
          <w:kern w:val="0"/>
          <w:sz w:val="32"/>
          <w:szCs w:val="32"/>
        </w:rPr>
        <w:t>针对科技型企业推出创新产品“科信贷”和“科技成果转化贷”。改变过去以传统产品为主，同时缩短信贷审批流程，对政府推荐名单内企业进行重点扶持，在支持科技型企业发展的同时，推动银行业务创新。</w:t>
      </w:r>
      <w:bookmarkStart w:id="19" w:name="_Toc29206"/>
    </w:p>
    <w:bookmarkEnd w:id="18"/>
    <w:bookmarkEnd w:id="19"/>
    <w:p w14:paraId="281AECA0">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1" w:firstLineChars="200"/>
        <w:textAlignment w:val="auto"/>
        <w:rPr>
          <w:rFonts w:hint="eastAsia" w:ascii="楷体_GB2312" w:hAnsi="楷体_GB2312" w:eastAsia="楷体_GB2312" w:cs="楷体_GB2312"/>
          <w:b/>
          <w:bCs/>
          <w:color w:val="auto"/>
          <w:sz w:val="32"/>
          <w:szCs w:val="32"/>
          <w:highlight w:val="none"/>
          <w:lang w:val="en-US" w:eastAsia="zh-CN"/>
        </w:rPr>
      </w:pPr>
      <w:bookmarkStart w:id="20" w:name="_Toc192"/>
      <w:r>
        <w:rPr>
          <w:rFonts w:hint="eastAsia" w:ascii="楷体_GB2312" w:hAnsi="楷体_GB2312" w:eastAsia="楷体_GB2312" w:cs="楷体_GB2312"/>
          <w:b/>
          <w:bCs/>
          <w:color w:val="auto"/>
          <w:sz w:val="32"/>
          <w:szCs w:val="32"/>
          <w:highlight w:val="none"/>
          <w:lang w:val="en-US" w:eastAsia="zh-CN"/>
        </w:rPr>
        <w:t>创新金融产品</w:t>
      </w:r>
    </w:p>
    <w:p w14:paraId="700E81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Hans"/>
        </w:rPr>
      </w:pPr>
      <w:r>
        <w:rPr>
          <w:rFonts w:hint="eastAsia" w:ascii="仿宋_GB2312" w:hAnsi="仿宋_GB2312" w:eastAsia="仿宋_GB2312" w:cs="仿宋_GB2312"/>
          <w:b w:val="0"/>
          <w:bCs/>
          <w:color w:val="auto"/>
          <w:kern w:val="0"/>
          <w:sz w:val="32"/>
          <w:szCs w:val="32"/>
          <w:lang w:val="en-US" w:eastAsia="zh-Hans"/>
        </w:rPr>
        <w:t>为支持烟台市科技型企业发展，满足企业多样化融资需求，促进科技成果转化，该行针对科技型小企业推出创新产品“科信贷”和“科技成果转化贷”。改变过去以传统产品为主，同时缩短信贷审批流程，对政府推荐名单内企业进行重点扶持，在支持科技型企业发展的同时，推动银行业务创新。</w:t>
      </w:r>
    </w:p>
    <w:p w14:paraId="4807396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1" w:firstLineChars="200"/>
        <w:jc w:val="both"/>
        <w:textAlignment w:val="auto"/>
        <w:outlineLvl w:val="1"/>
        <w:rPr>
          <w:rFonts w:hint="eastAsia" w:ascii="楷体_GB2312" w:hAnsi="楷体_GB2312" w:eastAsia="楷体_GB2312" w:cs="楷体_GB2312"/>
          <w:b/>
          <w:bCs/>
          <w:color w:val="auto"/>
          <w:sz w:val="32"/>
          <w:szCs w:val="32"/>
          <w:lang w:val="en-US" w:eastAsia="zh-CN"/>
        </w:rPr>
      </w:pPr>
      <w:bookmarkStart w:id="21" w:name="_Toc32307"/>
      <w:r>
        <w:rPr>
          <w:rFonts w:hint="eastAsia" w:ascii="楷体_GB2312" w:hAnsi="楷体_GB2312" w:eastAsia="楷体_GB2312" w:cs="楷体_GB2312"/>
          <w:b/>
          <w:bCs/>
          <w:color w:val="auto"/>
          <w:sz w:val="32"/>
          <w:szCs w:val="32"/>
          <w:lang w:val="en-US" w:eastAsia="zh-CN"/>
        </w:rPr>
        <w:t>（三）</w:t>
      </w:r>
      <w:bookmarkEnd w:id="20"/>
      <w:bookmarkEnd w:id="21"/>
      <w:r>
        <w:rPr>
          <w:rFonts w:hint="eastAsia" w:ascii="楷体_GB2312" w:hAnsi="楷体_GB2312" w:eastAsia="楷体_GB2312" w:cs="楷体_GB2312"/>
          <w:b/>
          <w:bCs/>
          <w:color w:val="auto"/>
          <w:sz w:val="32"/>
          <w:szCs w:val="32"/>
          <w:lang w:val="en-US" w:eastAsia="zh-CN"/>
        </w:rPr>
        <w:t>支持“专精特新”企业发展</w:t>
      </w:r>
    </w:p>
    <w:p w14:paraId="47E76C6E">
      <w:pPr>
        <w:adjustRightInd w:val="0"/>
        <w:snapToGrid w:val="0"/>
        <w:spacing w:line="560" w:lineRule="exact"/>
        <w:ind w:firstLine="640" w:firstLineChars="200"/>
        <w:rPr>
          <w:rFonts w:hint="eastAsia" w:ascii="仿宋_GB2312" w:hAnsi="仿宋_GB2312" w:eastAsia="仿宋_GB2312" w:cs="仿宋_GB2312"/>
          <w:bCs/>
          <w:color w:val="auto"/>
          <w:kern w:val="0"/>
          <w:sz w:val="32"/>
          <w:szCs w:val="32"/>
          <w:lang w:val="en-US" w:eastAsia="zh-Hans"/>
        </w:rPr>
      </w:pPr>
      <w:r>
        <w:rPr>
          <w:rFonts w:hint="eastAsia" w:ascii="仿宋_GB2312" w:hAnsi="仿宋_GB2312" w:eastAsia="仿宋_GB2312" w:cs="仿宋_GB2312"/>
          <w:bCs/>
          <w:color w:val="auto"/>
          <w:kern w:val="0"/>
          <w:sz w:val="32"/>
          <w:szCs w:val="32"/>
          <w:lang w:val="en-US" w:eastAsia="zh-Hans"/>
        </w:rPr>
        <w:t>通过市场化利率传导机制，引导全行继续向实体经济让利，持续推动该行对科技型、“专精特新”类、绿色能源等重点领域的信贷支持力度。同时，该行不断加强内外部数据的积累、集成和对接,精准分析小微企业生产经营和信用状况，以普惠金融推进月、金融辅导队为契机，主动送金融服务进企业，努力实现资金供需双方高效对接,让信息“多跑路”，让企业“少跑腿”，为小微企业融资提供强力支持。</w:t>
      </w:r>
    </w:p>
    <w:p w14:paraId="21482157">
      <w:pPr>
        <w:adjustRightInd w:val="0"/>
        <w:snapToGrid w:val="0"/>
        <w:spacing w:line="560" w:lineRule="exact"/>
        <w:ind w:firstLine="640" w:firstLineChars="200"/>
        <w:rPr>
          <w:rFonts w:hint="eastAsia" w:ascii="仿宋_GB2312" w:hAnsi="仿宋_GB2312" w:eastAsia="仿宋_GB2312" w:cs="仿宋_GB2312"/>
          <w:bCs/>
          <w:color w:val="auto"/>
          <w:kern w:val="0"/>
          <w:sz w:val="32"/>
          <w:szCs w:val="32"/>
          <w:lang w:val="en-US" w:eastAsia="zh-Hans"/>
        </w:rPr>
      </w:pPr>
      <w:r>
        <w:rPr>
          <w:rFonts w:hint="eastAsia" w:ascii="仿宋_GB2312" w:hAnsi="仿宋_GB2312" w:eastAsia="仿宋_GB2312" w:cs="仿宋_GB2312"/>
          <w:bCs/>
          <w:color w:val="auto"/>
          <w:kern w:val="0"/>
          <w:sz w:val="32"/>
          <w:szCs w:val="32"/>
          <w:lang w:val="en-US" w:eastAsia="zh-Hans"/>
        </w:rPr>
        <w:t>一是实行名单制管理，提升营销效率。该行加强与地方政府、监管部门沟通交流，及时掌握科创、专精特新类企业名单，并将名单下发分支行，要求分支行加大对名单内企业营销力度，积极走访对接企业，实施精准营销、网格推进。</w:t>
      </w:r>
    </w:p>
    <w:p w14:paraId="19517365">
      <w:pPr>
        <w:adjustRightInd w:val="0"/>
        <w:snapToGrid w:val="0"/>
        <w:spacing w:line="560" w:lineRule="exact"/>
        <w:ind w:firstLine="640" w:firstLineChars="200"/>
        <w:rPr>
          <w:rFonts w:hint="eastAsia" w:ascii="仿宋_GB2312" w:hAnsi="仿宋_GB2312" w:eastAsia="仿宋_GB2312" w:cs="仿宋_GB2312"/>
          <w:bCs/>
          <w:color w:val="auto"/>
          <w:kern w:val="0"/>
          <w:sz w:val="32"/>
          <w:szCs w:val="32"/>
          <w:lang w:val="en-US" w:eastAsia="zh-Hans"/>
        </w:rPr>
      </w:pPr>
      <w:r>
        <w:rPr>
          <w:rFonts w:hint="eastAsia" w:ascii="仿宋_GB2312" w:hAnsi="仿宋_GB2312" w:eastAsia="仿宋_GB2312" w:cs="仿宋_GB2312"/>
          <w:bCs/>
          <w:color w:val="auto"/>
          <w:kern w:val="0"/>
          <w:sz w:val="32"/>
          <w:szCs w:val="32"/>
          <w:lang w:val="en-US" w:eastAsia="zh-Hans"/>
        </w:rPr>
        <w:t>二是强化产品创新，提升精准服务。针对不同发展阶段、不同类型科创企业的特点和需求，该行提供多种金融产品，为企业提供精准服务。典型金融产品有“高成长创新型企业贷”“科信贷”和“科技成果转化贷”。</w:t>
      </w:r>
    </w:p>
    <w:p w14:paraId="5BF262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kern w:val="0"/>
          <w:sz w:val="32"/>
          <w:szCs w:val="32"/>
          <w:lang w:eastAsia="zh-Hans"/>
        </w:rPr>
      </w:pPr>
      <w:r>
        <w:rPr>
          <w:rFonts w:hint="eastAsia" w:ascii="仿宋_GB2312" w:hAnsi="仿宋_GB2312" w:eastAsia="仿宋_GB2312" w:cs="仿宋_GB2312"/>
          <w:bCs/>
          <w:color w:val="auto"/>
          <w:kern w:val="0"/>
          <w:sz w:val="32"/>
          <w:szCs w:val="32"/>
          <w:lang w:val="en-US" w:eastAsia="zh-Hans"/>
        </w:rPr>
        <w:t>三是落实激励机制，提升业务积极性。</w:t>
      </w:r>
      <w:r>
        <w:rPr>
          <w:rFonts w:hint="eastAsia" w:ascii="仿宋_GB2312" w:hAnsi="仿宋_GB2312" w:eastAsia="仿宋_GB2312" w:cs="仿宋_GB2312"/>
          <w:bCs/>
          <w:color w:val="auto"/>
          <w:kern w:val="0"/>
          <w:sz w:val="32"/>
          <w:szCs w:val="32"/>
          <w:lang w:eastAsia="zh-Hans"/>
        </w:rPr>
        <w:t>为进一步落实监管部门对“专精特新”高成长型企业扶持政策，支持当地中小企业特别是“专精特新”高成长创新型企业发展，</w:t>
      </w:r>
      <w:r>
        <w:rPr>
          <w:rFonts w:hint="eastAsia" w:ascii="仿宋_GB2312" w:hAnsi="仿宋_GB2312" w:eastAsia="仿宋_GB2312" w:cs="仿宋_GB2312"/>
          <w:bCs/>
          <w:color w:val="auto"/>
          <w:kern w:val="0"/>
          <w:sz w:val="32"/>
          <w:szCs w:val="32"/>
          <w:lang w:val="en-US" w:eastAsia="zh-Hans"/>
        </w:rPr>
        <w:t>该行深入落实专精特新内部资金转移定价优惠力度工作，对该行“名单制”内的</w:t>
      </w:r>
      <w:r>
        <w:rPr>
          <w:rFonts w:hint="eastAsia" w:ascii="仿宋_GB2312" w:hAnsi="仿宋_GB2312" w:eastAsia="仿宋_GB2312" w:cs="仿宋_GB2312"/>
          <w:bCs/>
          <w:color w:val="auto"/>
          <w:kern w:val="0"/>
          <w:sz w:val="32"/>
          <w:szCs w:val="32"/>
          <w:lang w:eastAsia="zh-Hans"/>
        </w:rPr>
        <w:t>专精特新等高成长创新型企业（包含独角兽、瞪羚企业、专精特新、小巨人、制造业单项冠军、隐形冠军企业）中属于普惠口径小微企业贷款的FTP在按期限匹配价格基础上下浮</w:t>
      </w:r>
      <w:r>
        <w:rPr>
          <w:rFonts w:hint="eastAsia" w:ascii="仿宋_GB2312" w:hAnsi="仿宋_GB2312" w:eastAsia="仿宋_GB2312" w:cs="仿宋_GB2312"/>
          <w:bCs/>
          <w:color w:val="auto"/>
          <w:kern w:val="0"/>
          <w:sz w:val="32"/>
          <w:szCs w:val="32"/>
          <w:lang w:val="en-US" w:eastAsia="zh-Hans"/>
        </w:rPr>
        <w:t>3</w:t>
      </w:r>
      <w:r>
        <w:rPr>
          <w:rFonts w:hint="eastAsia" w:ascii="仿宋_GB2312" w:hAnsi="仿宋_GB2312" w:eastAsia="仿宋_GB2312" w:cs="仿宋_GB2312"/>
          <w:bCs/>
          <w:color w:val="auto"/>
          <w:kern w:val="0"/>
          <w:sz w:val="32"/>
          <w:szCs w:val="32"/>
          <w:lang w:eastAsia="zh-Hans"/>
        </w:rPr>
        <w:t>0BPS，传导优惠利率政策，为企业降低融资成本。</w:t>
      </w:r>
    </w:p>
    <w:p w14:paraId="3E780726">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Times New Roman" w:hAnsi="Times New Roman" w:eastAsia="黑体" w:cs="黑体"/>
          <w:bCs/>
          <w:color w:val="auto"/>
          <w:sz w:val="32"/>
          <w:szCs w:val="32"/>
          <w:highlight w:val="none"/>
          <w:lang w:val="en-US" w:eastAsia="zh-CN"/>
        </w:rPr>
      </w:pPr>
      <w:bookmarkStart w:id="22" w:name="_Toc18344"/>
      <w:r>
        <w:rPr>
          <w:rFonts w:hint="eastAsia" w:ascii="Times New Roman" w:hAnsi="Times New Roman" w:eastAsia="黑体" w:cs="黑体"/>
          <w:bCs/>
          <w:color w:val="auto"/>
          <w:sz w:val="32"/>
          <w:szCs w:val="32"/>
          <w:highlight w:val="none"/>
          <w:lang w:val="en-US" w:eastAsia="zh-CN"/>
        </w:rPr>
        <w:t>四、</w:t>
      </w:r>
      <w:bookmarkEnd w:id="22"/>
      <w:r>
        <w:rPr>
          <w:rFonts w:hint="eastAsia" w:ascii="Times New Roman" w:hAnsi="Times New Roman" w:eastAsia="黑体" w:cs="黑体"/>
          <w:bCs/>
          <w:color w:val="auto"/>
          <w:sz w:val="32"/>
          <w:szCs w:val="32"/>
          <w:highlight w:val="none"/>
          <w:lang w:val="en-US" w:eastAsia="zh-CN"/>
        </w:rPr>
        <w:t>聚焦绿色金融 激发产业焕新</w:t>
      </w:r>
    </w:p>
    <w:p w14:paraId="22C660F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1" w:firstLineChars="200"/>
        <w:textAlignment w:val="auto"/>
        <w:rPr>
          <w:rFonts w:hint="default" w:ascii="楷体_GB2312" w:hAnsi="楷体_GB2312" w:eastAsia="楷体_GB2312" w:cs="楷体_GB2312"/>
          <w:b/>
          <w:bCs/>
          <w:sz w:val="32"/>
          <w:szCs w:val="32"/>
          <w:lang w:val="en-US" w:eastAsia="zh-CN"/>
        </w:rPr>
      </w:pPr>
      <w:bookmarkStart w:id="23" w:name="_Toc17374"/>
      <w:r>
        <w:rPr>
          <w:rFonts w:hint="default" w:ascii="楷体_GB2312" w:hAnsi="楷体_GB2312" w:eastAsia="楷体_GB2312" w:cs="楷体_GB2312"/>
          <w:b/>
          <w:bCs/>
          <w:sz w:val="32"/>
          <w:szCs w:val="32"/>
          <w:lang w:val="en-US" w:eastAsia="zh-CN"/>
        </w:rPr>
        <w:t>（一）体制机制配套建设</w:t>
      </w:r>
    </w:p>
    <w:bookmarkEnd w:id="23"/>
    <w:p w14:paraId="32EBAFBB">
      <w:pPr>
        <w:pStyle w:val="3"/>
        <w:adjustRightInd w:val="0"/>
        <w:snapToGrid w:val="0"/>
        <w:spacing w:after="0" w:line="560" w:lineRule="exact"/>
        <w:ind w:firstLine="480" w:firstLineChars="150"/>
        <w:rPr>
          <w:rFonts w:hint="eastAsia" w:ascii="仿宋_GB2312" w:hAnsi="仿宋_GB2312" w:eastAsia="仿宋_GB2312" w:cs="仿宋_GB2312"/>
          <w:b w:val="0"/>
          <w:bCs/>
          <w:color w:val="auto"/>
          <w:kern w:val="0"/>
          <w:sz w:val="32"/>
          <w:szCs w:val="32"/>
          <w:lang w:val="en-US" w:eastAsia="zh-Hans" w:bidi="ar-SA"/>
        </w:rPr>
      </w:pPr>
      <w:r>
        <w:rPr>
          <w:rFonts w:hint="eastAsia" w:ascii="仿宋_GB2312" w:hAnsi="仿宋_GB2312" w:eastAsia="仿宋_GB2312" w:cs="仿宋_GB2312"/>
          <w:b w:val="0"/>
          <w:bCs/>
          <w:color w:val="auto"/>
          <w:kern w:val="0"/>
          <w:sz w:val="32"/>
          <w:szCs w:val="32"/>
          <w:lang w:val="en-US" w:eastAsia="zh-Hans" w:bidi="ar-SA"/>
        </w:rPr>
        <w:t>烟台银行将绿色金融发展纳入全行整体发展战略规划，作为服务地方经济社会发展的重要领域，从战略高度推进绿色金融建设，加大对绿色经济、低碳经济、循环经济、海洋经济的支持，防范环境和社会风险，提升自身的环境和社会表现，并以此优化信贷结构，提高服务水平，促进经营方式和发展模式转变。</w:t>
      </w:r>
    </w:p>
    <w:p w14:paraId="5A75BD28">
      <w:pPr>
        <w:pStyle w:val="3"/>
        <w:adjustRightInd w:val="0"/>
        <w:snapToGrid w:val="0"/>
        <w:spacing w:after="0" w:line="560" w:lineRule="exact"/>
        <w:ind w:firstLine="640" w:firstLineChars="200"/>
        <w:rPr>
          <w:rFonts w:hint="eastAsia" w:ascii="仿宋_GB2312" w:hAnsi="仿宋_GB2312" w:eastAsia="仿宋_GB2312" w:cs="仿宋_GB2312"/>
          <w:b w:val="0"/>
          <w:bCs/>
          <w:color w:val="auto"/>
          <w:kern w:val="0"/>
          <w:sz w:val="32"/>
          <w:szCs w:val="32"/>
          <w:lang w:val="en-US" w:eastAsia="zh-Hans" w:bidi="ar-SA"/>
        </w:rPr>
      </w:pPr>
      <w:r>
        <w:rPr>
          <w:rFonts w:hint="eastAsia" w:ascii="仿宋_GB2312" w:hAnsi="仿宋_GB2312" w:eastAsia="仿宋_GB2312" w:cs="仿宋_GB2312"/>
          <w:b w:val="0"/>
          <w:bCs/>
          <w:color w:val="auto"/>
          <w:kern w:val="0"/>
          <w:sz w:val="32"/>
          <w:szCs w:val="32"/>
          <w:lang w:val="en-US" w:eastAsia="zh-Hans" w:bidi="ar-SA"/>
        </w:rPr>
        <w:t>近年来相继出台《“绿融贷”业务管理办法》《绿色产业项目筛选管理办法》《绿色信贷管理办法》《“绿碳贷”管理办法》《“绿色产业贷”管理办法》等制度；并在年度《信用风险管理纲要》中明确指出“持续推进绿色金融业务发展”，引导全行助力项目“扩投资”、产业“提能级”、企业“增动能”。</w:t>
      </w:r>
    </w:p>
    <w:p w14:paraId="01B5780D">
      <w:pPr>
        <w:pStyle w:val="3"/>
        <w:adjustRightInd w:val="0"/>
        <w:snapToGrid w:val="0"/>
        <w:spacing w:after="0" w:line="560" w:lineRule="exact"/>
        <w:ind w:firstLine="640" w:firstLineChars="200"/>
        <w:rPr>
          <w:rFonts w:hint="eastAsia" w:ascii="仿宋_GB2312" w:hAnsi="仿宋_GB2312" w:eastAsia="仿宋_GB2312" w:cs="仿宋_GB2312"/>
          <w:b w:val="0"/>
          <w:bCs/>
          <w:color w:val="auto"/>
          <w:kern w:val="0"/>
          <w:sz w:val="32"/>
          <w:szCs w:val="32"/>
          <w:lang w:val="en-US" w:eastAsia="zh-Hans" w:bidi="ar-SA"/>
        </w:rPr>
      </w:pPr>
      <w:r>
        <w:rPr>
          <w:rFonts w:hint="eastAsia" w:ascii="仿宋_GB2312" w:hAnsi="仿宋_GB2312" w:eastAsia="仿宋_GB2312" w:cs="仿宋_GB2312"/>
          <w:b w:val="0"/>
          <w:bCs/>
          <w:color w:val="auto"/>
          <w:kern w:val="0"/>
          <w:sz w:val="32"/>
          <w:szCs w:val="32"/>
          <w:lang w:val="en-US" w:eastAsia="zh-Hans" w:bidi="ar-SA"/>
        </w:rPr>
        <w:t>该行在《2024年业务考核办法》中，为鼓励绿色贷款业务发展，经济资本占用系数降至9%，引导各经营机构积极开展绿色信贷业务。社会责任考核中将绿色信贷纳入考核，占比10%。</w:t>
      </w:r>
    </w:p>
    <w:p w14:paraId="0DBDC8B9">
      <w:pPr>
        <w:pStyle w:val="3"/>
        <w:adjustRightInd w:val="0"/>
        <w:snapToGrid w:val="0"/>
        <w:spacing w:after="0" w:line="560" w:lineRule="exact"/>
        <w:ind w:firstLine="480" w:firstLineChars="150"/>
        <w:rPr>
          <w:rFonts w:hint="eastAsia" w:ascii="仿宋_GB2312" w:hAnsi="仿宋_GB2312" w:eastAsia="仿宋_GB2312" w:cs="仿宋_GB2312"/>
          <w:b w:val="0"/>
          <w:bCs/>
          <w:color w:val="auto"/>
          <w:kern w:val="0"/>
          <w:sz w:val="32"/>
          <w:szCs w:val="32"/>
          <w:lang w:val="en-US" w:eastAsia="zh-Hans" w:bidi="ar-SA"/>
        </w:rPr>
      </w:pPr>
      <w:r>
        <w:rPr>
          <w:rFonts w:hint="eastAsia" w:ascii="仿宋_GB2312" w:hAnsi="仿宋_GB2312" w:eastAsia="仿宋_GB2312" w:cs="仿宋_GB2312"/>
          <w:b w:val="0"/>
          <w:bCs/>
          <w:color w:val="auto"/>
          <w:kern w:val="0"/>
          <w:sz w:val="32"/>
          <w:szCs w:val="32"/>
          <w:lang w:val="en-US" w:eastAsia="zh-Hans" w:bidi="ar-SA"/>
        </w:rPr>
        <w:t xml:space="preserve"> 2024年持续推进绿色金融特色产品的研发，推出节能绿易贷、海洋碳汇贷等特色金融产品。提升该行绿色金融创新和服务能力，探索依托企业碳账户开发各类利率定价与低碳转型目标挂钩的能效贷款、可持续挂钩特色贷款等特色产品；探索建立与碳信息挂钩的利率定价机制和授信审批机制，为碳减排重点领域内具有显著碳减排效益的项目提供优惠利率融资。</w:t>
      </w:r>
    </w:p>
    <w:p w14:paraId="50C953D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Hans"/>
        </w:rPr>
      </w:pPr>
      <w:r>
        <w:rPr>
          <w:rFonts w:hint="eastAsia" w:ascii="仿宋_GB2312" w:hAnsi="仿宋_GB2312" w:eastAsia="仿宋_GB2312" w:cs="仿宋_GB2312"/>
          <w:b w:val="0"/>
          <w:bCs/>
          <w:color w:val="auto"/>
          <w:kern w:val="0"/>
          <w:sz w:val="32"/>
          <w:szCs w:val="32"/>
          <w:lang w:val="en-US" w:eastAsia="zh-Hans" w:bidi="ar-SA"/>
        </w:rPr>
        <w:t>截至2024年末，该行绿色贷款余额245458万元，比上年末增加164935万元，增幅204.97%；客户数为116户，比上年末增加88户。</w:t>
      </w:r>
    </w:p>
    <w:p w14:paraId="2847B03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1"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（二）推动企业绿色低碳转型</w:t>
      </w:r>
    </w:p>
    <w:p w14:paraId="4B0DBC54">
      <w:pPr>
        <w:pStyle w:val="3"/>
        <w:adjustRightInd w:val="0"/>
        <w:snapToGrid w:val="0"/>
        <w:spacing w:after="0" w:line="560" w:lineRule="exact"/>
        <w:ind w:firstLine="480" w:firstLineChars="150"/>
        <w:rPr>
          <w:rFonts w:hint="eastAsia" w:ascii="仿宋_GB2312" w:hAnsi="仿宋_GB2312" w:eastAsia="仿宋_GB2312" w:cs="仿宋_GB2312"/>
          <w:b w:val="0"/>
          <w:bCs/>
          <w:color w:val="auto"/>
          <w:kern w:val="0"/>
          <w:sz w:val="32"/>
          <w:szCs w:val="32"/>
          <w:lang w:val="en-US" w:eastAsia="zh-Hans" w:bidi="ar-SA"/>
        </w:rPr>
      </w:pPr>
      <w:r>
        <w:rPr>
          <w:rFonts w:hint="eastAsia" w:ascii="仿宋_GB2312" w:hAnsi="仿宋_GB2312" w:eastAsia="仿宋_GB2312" w:cs="仿宋_GB2312"/>
          <w:b w:val="0"/>
          <w:bCs/>
          <w:color w:val="auto"/>
          <w:kern w:val="0"/>
          <w:sz w:val="32"/>
          <w:szCs w:val="32"/>
          <w:lang w:val="en-US" w:eastAsia="zh-Hans" w:bidi="ar-SA"/>
        </w:rPr>
        <w:t>该行立足山东省、烟台市“十四五”发展规划，结合区域绿色化工、蓝色海洋等鲜明区域特色，围绕新旧动能转换、绿色低碳环保等业务发展“新高地”，将绿色低碳重点领域纳入“沙盘式”作战和“名单制”管理，精准聚焦“山东省碳金融重点项目”“省级绿色工厂”“烟台市绿色低碳高质量发展特色产业园”“烟台市清洁能源产业”“烟台市首批‘双碳’机会清单重点项目”等绿色低碳重点领域，强化督导，推动分支行精准对接目标客户及项目，保障绿色低碳领域金融服务工作高效开展。</w:t>
      </w:r>
    </w:p>
    <w:p w14:paraId="4764B9A9">
      <w:pPr>
        <w:pStyle w:val="3"/>
        <w:adjustRightInd w:val="0"/>
        <w:snapToGrid w:val="0"/>
        <w:spacing w:after="0" w:line="560" w:lineRule="exact"/>
        <w:ind w:firstLine="480" w:firstLineChars="150"/>
        <w:rPr>
          <w:rFonts w:hint="eastAsia" w:ascii="仿宋_GB2312" w:hAnsi="仿宋_GB2312" w:eastAsia="仿宋_GB2312" w:cs="仿宋_GB2312"/>
          <w:b w:val="0"/>
          <w:bCs/>
          <w:color w:val="auto"/>
          <w:kern w:val="0"/>
          <w:sz w:val="32"/>
          <w:szCs w:val="32"/>
          <w:lang w:val="en-US" w:eastAsia="zh-Hans" w:bidi="ar-SA"/>
        </w:rPr>
      </w:pPr>
      <w:r>
        <w:rPr>
          <w:rFonts w:hint="eastAsia" w:ascii="仿宋_GB2312" w:hAnsi="仿宋_GB2312" w:eastAsia="仿宋_GB2312" w:cs="仿宋_GB2312"/>
          <w:b w:val="0"/>
          <w:bCs/>
          <w:color w:val="auto"/>
          <w:kern w:val="0"/>
          <w:sz w:val="32"/>
          <w:szCs w:val="32"/>
          <w:lang w:val="en-US" w:eastAsia="zh-Hans" w:bidi="ar-SA"/>
        </w:rPr>
        <w:t xml:space="preserve"> 一是持续强化政策保障，加快推动金融服务成果转化。设置专项业务考核，高效开展专项营销行动，并在资源配置、经济资本占用系数、FTP价格、授信定价、信贷投放规模安排等方面予以政策保障，通过政策组合加快推动金融服务成果落地。</w:t>
      </w:r>
    </w:p>
    <w:p w14:paraId="269645FB">
      <w:pPr>
        <w:pStyle w:val="3"/>
        <w:adjustRightInd w:val="0"/>
        <w:snapToGrid w:val="0"/>
        <w:spacing w:after="0" w:line="560" w:lineRule="exact"/>
        <w:ind w:firstLine="480" w:firstLineChars="150"/>
        <w:rPr>
          <w:rFonts w:hint="eastAsia" w:ascii="仿宋_GB2312" w:hAnsi="仿宋_GB2312" w:eastAsia="仿宋_GB2312" w:cs="仿宋_GB2312"/>
          <w:b w:val="0"/>
          <w:bCs/>
          <w:color w:val="auto"/>
          <w:kern w:val="0"/>
          <w:sz w:val="32"/>
          <w:szCs w:val="32"/>
          <w:lang w:val="en-US" w:eastAsia="zh-Hans" w:bidi="ar-SA"/>
        </w:rPr>
      </w:pPr>
      <w:r>
        <w:rPr>
          <w:rFonts w:hint="eastAsia" w:ascii="仿宋_GB2312" w:hAnsi="仿宋_GB2312" w:eastAsia="仿宋_GB2312" w:cs="仿宋_GB2312"/>
          <w:b w:val="0"/>
          <w:bCs/>
          <w:color w:val="auto"/>
          <w:kern w:val="0"/>
          <w:sz w:val="32"/>
          <w:szCs w:val="32"/>
          <w:lang w:val="en-US" w:eastAsia="zh-Hans" w:bidi="ar-SA"/>
        </w:rPr>
        <w:t xml:space="preserve"> 二是在主体资格方面，要求分支机构落实项目和主体相关审批文件的真实性、有效性；在落实政策导向方面，主要从还款来源稳定性、国家政策支持持续性、项目可行性、信贷结构合理性等诸多方面进行论证，确保业务符合国家绿色金融发展要求。</w:t>
      </w:r>
    </w:p>
    <w:p w14:paraId="428046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Hans"/>
        </w:rPr>
      </w:pPr>
      <w:r>
        <w:rPr>
          <w:rFonts w:hint="eastAsia" w:ascii="仿宋_GB2312" w:hAnsi="仿宋_GB2312" w:eastAsia="仿宋_GB2312" w:cs="仿宋_GB2312"/>
          <w:b w:val="0"/>
          <w:bCs/>
          <w:color w:val="auto"/>
          <w:kern w:val="0"/>
          <w:sz w:val="32"/>
          <w:szCs w:val="32"/>
          <w:lang w:val="en-US" w:eastAsia="zh-Hans" w:bidi="ar-SA"/>
        </w:rPr>
        <w:t xml:space="preserve"> 三是持续推进绿色金融特色产品的研发，丰富金融产品。相继推出“节能绿易贷”“海洋碳汇贷”“绿融贷”“绿碳贷”特色金融产品，提升绿色金融创新和服务能力，探索依托企业碳账户开发各类利率定价与低碳转型目标挂钩的能效贷款、可持续挂钩特色贷款等特色产品；探索建立与碳信息挂钩的利率定价机制和授信审批机制，为碳减排重点领域内具有显著碳减排效益的项目提供优惠利率融资。</w:t>
      </w:r>
    </w:p>
    <w:p w14:paraId="41D6C66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1"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（三）支持绿色低碳高质量发展先行区建设</w:t>
      </w:r>
    </w:p>
    <w:p w14:paraId="1BF8BC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该行为深入贯彻落实党中央、国务院碳达峰、碳中和重大决策部署，有效保证《烟台银保监分局辖区银行业保险业支持绿色低碳高质量发展先行区建设三年行动方案（2023-2025年）》全面推进，特组织召开“绿色低碳高质量发展先行区建设”工作部署会议，根据工作实际情况，总行与分支行建立上下联动机制，缩短决策链条，提质增效，切实解决业务开展过程中遇到的问题。会议明确工作目标、保障措施及工作要求：一是为涉及企业开通绿色通道，实行特事特办，急事急办的原则，提高业务办理效率；二是在业务发展上以各项创新产品为抓手，通过细分市场，锁定目标市场板块和目标客群，进行精准营销，进一步拓宽绿色低碳重点项目融资渠道；三是建立绿色低碳融资需求台账，实行“一户一策”精准管理，对企业融资服务工作实施项目化、清单化管理。</w:t>
      </w:r>
    </w:p>
    <w:p w14:paraId="169CFA4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Times New Roman" w:hAnsi="Times New Roman" w:eastAsia="黑体" w:cs="黑体"/>
          <w:bCs/>
          <w:color w:val="auto"/>
          <w:sz w:val="32"/>
          <w:szCs w:val="32"/>
          <w:highlight w:val="yellow"/>
          <w:lang w:val="en-US" w:eastAsia="zh-CN"/>
        </w:rPr>
      </w:pPr>
      <w:bookmarkStart w:id="24" w:name="_Toc20472"/>
      <w:bookmarkStart w:id="25" w:name="_Toc10158"/>
      <w:r>
        <w:rPr>
          <w:rFonts w:hint="eastAsia" w:ascii="Times New Roman" w:hAnsi="Times New Roman" w:eastAsia="黑体" w:cs="黑体"/>
          <w:bCs/>
          <w:color w:val="auto"/>
          <w:sz w:val="32"/>
          <w:szCs w:val="32"/>
          <w:highlight w:val="none"/>
          <w:lang w:val="en-US" w:eastAsia="zh-CN"/>
        </w:rPr>
        <w:t>五、</w:t>
      </w:r>
      <w:bookmarkEnd w:id="24"/>
      <w:bookmarkEnd w:id="25"/>
      <w:r>
        <w:rPr>
          <w:rFonts w:hint="eastAsia" w:ascii="Times New Roman" w:hAnsi="Times New Roman" w:eastAsia="黑体" w:cs="黑体"/>
          <w:bCs/>
          <w:color w:val="auto"/>
          <w:sz w:val="32"/>
          <w:szCs w:val="32"/>
          <w:highlight w:val="none"/>
          <w:lang w:val="en-US" w:eastAsia="zh-CN"/>
        </w:rPr>
        <w:t>深耕普惠金融 畅通社会融资</w:t>
      </w:r>
    </w:p>
    <w:p w14:paraId="0A6A2706">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textAlignment w:val="auto"/>
        <w:outlineLvl w:val="1"/>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（一）支持小微企业发展</w:t>
      </w:r>
    </w:p>
    <w:p w14:paraId="6E9229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烟台银行始终将普惠金融作为重要战略任务，通过完善体制机制、创新金融产品、提升服务能力等多方面入手，切实加大对小微企业的金融支持力度。</w:t>
      </w:r>
    </w:p>
    <w:p w14:paraId="1D6270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一、加强信贷支持</w:t>
      </w:r>
    </w:p>
    <w:p w14:paraId="11943F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（一）完善普惠金融服务机制</w:t>
      </w:r>
    </w:p>
    <w:p w14:paraId="4850B1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目前该行已设立普惠金融专门机构，专职负责普惠金融业务组织开展和业务推进。进一步明确机构职责、工作流程及工作目标。</w:t>
      </w:r>
    </w:p>
    <w:p w14:paraId="4C895F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（二）创新普惠金融产品</w:t>
      </w:r>
    </w:p>
    <w:p w14:paraId="6CD15B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一是针对小微企业的融资需求，该行持续创新、完善产品体系，如推广“普惠信用贷”“科信贷”“科技成果转化贷”“高成长创新型企业贷”等信贷产品，拓宽科创企业信贷资金获得面；深入推进实施《科技型企业全周期总体金融服务方案》，为初创期、成长期不同阶段的科技型企业，制定差异化授信策略及产品方案，重点关注企业发展前景，弱化抵质押担保，解决科技型企业融资难的问题，助推科技型企业发展；为金融赋能外贸企业，该行依托出口退税资金的稳定性和可靠性，创设“出口助力贷”专项业务方案；该产品既有助于解决出口企业的资金需求，又能促进外贸稳定增长。</w:t>
      </w:r>
    </w:p>
    <w:p w14:paraId="74C2E0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二是积极响应国家政策，配合小微企业融资协调工作机制，在信贷产品体系建设和金融服务产品方面积极创新，该行针对小微企业缺乏担保物、财务制度不健全导致的融资难问题，丰富完善了无担保类的个人贷款产品体系，引入了智慧零售信贷系统，创新性推出了基于数据风控、全流程线上操作的纯信用经营类贷款产品，截至2024年末，该行全年累计为八百余户小微企业主、个体工商户提供了线上信用类贷款服务，授信额度1.23亿元。</w:t>
      </w:r>
    </w:p>
    <w:p w14:paraId="0953D7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（三）提升普惠金融服务能力</w:t>
      </w:r>
    </w:p>
    <w:p w14:paraId="561E6E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该行积极拓展小微企业客户资源，持续加大对小微企业的信贷支持力度。围绕小微企业的融资需求，不断改进和完善金融服务方式，有效提高了小微企业贷款覆盖率和获得率。一是成立普惠审批团队，实现普惠审批的专业化、高效化，助力全行普惠小微信贷业务实现“增量、扩面”。二是通过无还本续贷等方式，满足部分小微企业资金周转周期需求，加大对小微企业融资支持。</w:t>
      </w:r>
    </w:p>
    <w:p w14:paraId="2BDA4B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二、推进数字普惠金融发展</w:t>
      </w:r>
    </w:p>
    <w:p w14:paraId="796A53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为高效推进该行数字化转型，加快部署数字化普惠产品，丰富该行展业模式，提高工作效率以及更好满足客户需求及产品体验。</w:t>
      </w:r>
    </w:p>
    <w:p w14:paraId="1BB774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一）目前该行已构建一套覆盖客户全生命周期、全流程的零售贷款智能风控体系，能够基于客户基本信息、征信信息、外部大数据对客户进行全维度精准画像，并结合多个风险模型对客户的各种维度特征进行量化分析，预测其可能的风险水平，对客户的信用进行综合评估。同时，平台搭载的大数据集成体系，还能够对客户信用风险进行辅助识别。</w:t>
      </w:r>
    </w:p>
    <w:p w14:paraId="224135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二）今年，该行“山海e链”供应链金融服务平台首期成功上线，该平台全面融合区块链、物联网、大数据等金融科技，充分借助核心企业主体信用、产业链数据信用、交易商品信用等，帮助中小微企业解决融资难、融资贵的现实问题，为链上企业提供“支付结算+资金融通+财资管理”的一体化金融综合服务解决方案，成为该行普惠金融发展的重要生产力工具。</w:t>
      </w:r>
    </w:p>
    <w:p w14:paraId="5C02C4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rPr>
      </w:pPr>
      <w:r>
        <w:rPr>
          <w:rFonts w:hint="eastAsia" w:ascii="仿宋_GB2312" w:hAnsi="仿宋_GB2312" w:eastAsia="仿宋_GB2312" w:cs="仿宋_GB2312"/>
          <w:b w:val="0"/>
          <w:bCs/>
          <w:color w:val="auto"/>
          <w:kern w:val="0"/>
          <w:sz w:val="32"/>
          <w:szCs w:val="32"/>
          <w:highlight w:val="none"/>
          <w:lang w:val="en-US" w:eastAsia="zh-CN"/>
        </w:rPr>
        <w:t>（三）创设“山海e链”数字供应链品牌，规划上游应收类“山海e信融”电子债权凭证业务、“山海e单通”应收账款质押业务，下游预付类“山海e销通”、存货类“山海e仓通”电子仓单质押和动产融资等系列产品，并分期建设各类产品。目前上游类“山海e信融”电子债权凭证融资产品和存货类“山海e仓通”电子仓单质押融资产品均已实现产品发布和业务投放，“山海e单通”应收账款质押融资产品和“山海e仓通”动产融资产品已于近日发布，同时正持续推进“山海e票通”供应链票据产品及下游类“山海e销通”等产品的发布，逐个点亮供应链的上游应收类、下游预付类、存货类三大系列各个“产品灯牌”，打造该行数字供应链全链条金融产品体系。</w:t>
      </w:r>
    </w:p>
    <w:p w14:paraId="14E08DCD">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textAlignment w:val="auto"/>
        <w:outlineLvl w:val="1"/>
        <w:rPr>
          <w:rFonts w:hint="eastAsia" w:ascii="楷体_GB2312" w:hAnsi="楷体_GB2312" w:eastAsia="楷体_GB2312" w:cs="楷体_GB2312"/>
          <w:b/>
          <w:bCs/>
          <w:color w:val="auto"/>
          <w:sz w:val="32"/>
          <w:szCs w:val="32"/>
        </w:rPr>
      </w:pPr>
      <w:bookmarkStart w:id="26" w:name="_Toc7983"/>
      <w:bookmarkStart w:id="27" w:name="_Toc12126"/>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二</w:t>
      </w:r>
      <w:r>
        <w:rPr>
          <w:rFonts w:hint="eastAsia" w:ascii="楷体_GB2312" w:hAnsi="楷体_GB2312" w:eastAsia="楷体_GB2312" w:cs="楷体_GB2312"/>
          <w:b/>
          <w:bCs/>
          <w:color w:val="auto"/>
          <w:sz w:val="32"/>
          <w:szCs w:val="32"/>
        </w:rPr>
        <w:t>）</w:t>
      </w:r>
      <w:bookmarkEnd w:id="26"/>
      <w:bookmarkEnd w:id="27"/>
      <w:r>
        <w:rPr>
          <w:rFonts w:hint="eastAsia" w:ascii="楷体_GB2312" w:hAnsi="楷体_GB2312" w:eastAsia="楷体_GB2312" w:cs="楷体_GB2312"/>
          <w:b/>
          <w:bCs/>
          <w:color w:val="auto"/>
          <w:sz w:val="32"/>
          <w:szCs w:val="32"/>
        </w:rPr>
        <w:t>金融助力提振消费</w:t>
      </w:r>
    </w:p>
    <w:p w14:paraId="54C05D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rPr>
      </w:pPr>
      <w:bookmarkStart w:id="28" w:name="_Toc29215"/>
      <w:r>
        <w:rPr>
          <w:rFonts w:hint="eastAsia" w:ascii="仿宋_GB2312" w:hAnsi="仿宋_GB2312" w:eastAsia="仿宋_GB2312" w:cs="仿宋_GB2312"/>
          <w:b w:val="0"/>
          <w:bCs/>
          <w:color w:val="auto"/>
          <w:kern w:val="0"/>
          <w:sz w:val="32"/>
          <w:szCs w:val="32"/>
          <w:lang w:val="en-US" w:eastAsia="zh-CN"/>
        </w:rPr>
        <w:t>烟台银行积极响应国家扩大内需、促进消费的政策导向，加大了对消费领域个人信贷的支持力度，大力拓展小额、快捷、灵活的个人消费贷款产品，通过引入智慧零售信贷系统，创新性推出了基于数据风控、全流程线上操作的纯信用消费类贷款产品，截至2024年末，该行全年累计为数万名个人客户提供了线上信用类消费贷款服务，授信额度达23亿元，消费方向包括：装修、子女教育、个人进修、旅游、购车、婚庆等。</w:t>
      </w:r>
    </w:p>
    <w:p w14:paraId="1450E3A3">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1"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持续降低融资成本</w:t>
      </w:r>
    </w:p>
    <w:p w14:paraId="30BC907D">
      <w:pPr>
        <w:adjustRightInd w:val="0"/>
        <w:snapToGrid w:val="0"/>
        <w:spacing w:line="56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降低普惠金融内部转移定价</w:t>
      </w:r>
    </w:p>
    <w:p w14:paraId="269FAB50">
      <w:pPr>
        <w:adjustRightInd w:val="0"/>
        <w:snapToGrid w:val="0"/>
        <w:spacing w:line="56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根据烟台市八部委《关于进一步强化烟台市中小微企业金融服务的实施意见》相关要求的通知，</w:t>
      </w:r>
      <w:r>
        <w:rPr>
          <w:rFonts w:hint="eastAsia" w:ascii="仿宋_GB2312" w:hAnsi="仿宋_GB2312" w:eastAsia="仿宋_GB2312" w:cs="仿宋_GB2312"/>
          <w:bCs/>
          <w:color w:val="auto"/>
          <w:kern w:val="0"/>
          <w:sz w:val="32"/>
          <w:szCs w:val="32"/>
          <w:lang w:eastAsia="zh-CN"/>
        </w:rPr>
        <w:t>该行</w:t>
      </w:r>
      <w:r>
        <w:rPr>
          <w:rFonts w:hint="eastAsia" w:ascii="仿宋_GB2312" w:hAnsi="仿宋_GB2312" w:eastAsia="仿宋_GB2312" w:cs="仿宋_GB2312"/>
          <w:bCs/>
          <w:color w:val="auto"/>
          <w:kern w:val="0"/>
          <w:sz w:val="32"/>
          <w:szCs w:val="32"/>
        </w:rPr>
        <w:t>深入落实普惠金融内部资金转移定价优惠力度工作，对普惠金融贷款优惠30BP充分传导优惠利率政策，为企业降低融资成本。</w:t>
      </w:r>
    </w:p>
    <w:p w14:paraId="594CB79B">
      <w:pPr>
        <w:adjustRightInd w:val="0"/>
        <w:snapToGrid w:val="0"/>
        <w:spacing w:line="56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部分收费项目对小微企业实施免收优惠政策</w:t>
      </w:r>
    </w:p>
    <w:p w14:paraId="298C91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Cs/>
          <w:color w:val="auto"/>
          <w:kern w:val="0"/>
          <w:sz w:val="32"/>
          <w:szCs w:val="32"/>
        </w:rPr>
        <w:t>根据减费让利的相关要求，</w:t>
      </w:r>
      <w:r>
        <w:rPr>
          <w:rFonts w:hint="eastAsia" w:ascii="仿宋_GB2312" w:hAnsi="仿宋_GB2312" w:eastAsia="仿宋_GB2312" w:cs="仿宋_GB2312"/>
          <w:bCs/>
          <w:color w:val="auto"/>
          <w:kern w:val="0"/>
          <w:sz w:val="32"/>
          <w:szCs w:val="32"/>
          <w:lang w:eastAsia="zh-CN"/>
        </w:rPr>
        <w:t>该行</w:t>
      </w:r>
      <w:r>
        <w:rPr>
          <w:rFonts w:hint="eastAsia" w:ascii="仿宋_GB2312" w:hAnsi="仿宋_GB2312" w:eastAsia="仿宋_GB2312" w:cs="仿宋_GB2312"/>
          <w:bCs/>
          <w:color w:val="auto"/>
          <w:kern w:val="0"/>
          <w:sz w:val="32"/>
          <w:szCs w:val="32"/>
        </w:rPr>
        <w:t>积极践行社会责任，降低企业融资成本，对小微企业经营活动过程中产生的收费项目尽可能减免，如抵押登记费、银行承兑汇票敞口承诺费、人民币保函类、国内保理等。</w:t>
      </w:r>
    </w:p>
    <w:p w14:paraId="6EFE1F9E">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（四）助力全面乡村振兴</w:t>
      </w:r>
    </w:p>
    <w:p w14:paraId="4CCCC88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烟台银行持续加强涉农贷款投放，截至2024年末，涉农贷款余额203.77亿元，较年初增加31.19亿元，增幅18.07%。普惠型涉农小微企业贷款余额28.19亿，较年初增加5.03亿元。</w:t>
      </w:r>
    </w:p>
    <w:p w14:paraId="4B36810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一、降低企业贷款成本</w:t>
      </w:r>
    </w:p>
    <w:p w14:paraId="2122F6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该行通过下调分支机构部分产品内部资金价格（FTP价格），降低分支机构内部资金成本，引导分支机构降低贷款价格，落实为企业降成本的相关要求。2024年，该行对普惠涉农小微企业贷款内部资金转移定价优惠30BP。以保证普惠涉农小微企业有更加优惠的利率。</w:t>
      </w:r>
    </w:p>
    <w:p w14:paraId="75EC487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二、 落实机构下沉”和“服务下沉”</w:t>
      </w:r>
    </w:p>
    <w:p w14:paraId="654192D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截至2024年末，该行在烟台市共设有经营网点86个，实现网点布局全覆盖，高效发挥金融服务海洋经济相关工作。该行乡镇及以下营业网点数量4个，自助机具台数94台，为解决农村地区银行网点少、覆盖率低，基础金融服务欠缺的问题，该行在农村范围内设立助农取款服务点513个，基本实现烟台市主要行政村镇全覆盖，为周边百姓提供了助农取款，现金汇款、转账汇款、代理缴费、余额查询等近十项基础金融服务。本年度“金融知识下乡”活动734次，组建宣传队个数16个。</w:t>
      </w:r>
    </w:p>
    <w:p w14:paraId="41D53FC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三、优化涉农信贷业务差异化绩效考核制度</w:t>
      </w:r>
    </w:p>
    <w:p w14:paraId="0001980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为切实履行社会责任，强化该行社会责任类事项落实力度，以提升该行整体形象和社会认识度，助推经营发展，该行制定《2024年社会责任考核细则》，考核细则中包含对各分支机构涉农贷款的考核，主要考核“涉农贷款增量”指标，按计划完成率进行考核。</w:t>
      </w:r>
    </w:p>
    <w:p w14:paraId="31C56A2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四、将提升乡村振兴金融服务综合水平写入战略规划</w:t>
      </w:r>
    </w:p>
    <w:p w14:paraId="617235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在国家大力推进乡村振兴战略的背景下，该行积极响应政策号召，将提升乡村振兴金融服务水平正式写入战略规划，以实际行动助力烟台地区农村经济发展，以战略规划为指引，不断优化金融服务，创新金融产品，加大资源投入，提升服务乡村振兴的能力和水平。</w:t>
      </w:r>
    </w:p>
    <w:p w14:paraId="4617C68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五、推动农村金融产品创新</w:t>
      </w:r>
    </w:p>
    <w:p w14:paraId="77382DE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一）为充分利用国家支农红利政策，推动惠农金融业务发展，为“乡村振兴”贡献力量，切实解决农业项目融资难、融资贵的问题。该行积极创新惠农产品，优化金融服务，研发推广“鲁担惠农贷”等特色信贷产品。</w:t>
      </w:r>
    </w:p>
    <w:p w14:paraId="14BC51B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 xml:space="preserve">“鲁担惠农贷”是该行精心打造的一款惠农金融产品，由山东省农业发展信贷担保有限责任公司提供担保的，用于其农业生产相关支出的经营类贷款。2024年共发放15笔，发放金额2396万元，24年末余额2384万元。 </w:t>
      </w:r>
    </w:p>
    <w:p w14:paraId="6DE155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该行通过扶农助农的创新产品，简化了贷款手续，降低了高高在上的信贷门槛，让更多老百姓得到了帮助和支持，为国家三农政策的实施添砖加瓦。未来，该行将继续深入当地乡村基层，从多个方向发力乡村振兴，积极履行社会责任，深耕本土聚焦三农，用创新、高效的金融服务，在乡村振兴的战役中奉献出烟行力量。</w:t>
      </w:r>
    </w:p>
    <w:p w14:paraId="69C87F2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二）粮食贷是该行为积极响应国家乡村振兴战略，精准服务“三农”推出的创新型质押贷款产品。该产品以农户及农业经营主体持有的粮食为质押物，通过“电子仓单+第三方监管”模式，将粮食资产转化为融资资本，有效解决农业生产周期中的资金周转难题，助力农业产业链健康发展。质押期间粮食可由农户自主选择该行准入的第三方专业仓管机构存储，确保品质安全。引入物联网监控技术，实时追踪仓储粮食状态，防范质押物损毁或贬值风险。截至2024年末，该行已累计发放粮食仓单质押贷款5笔，总额3331万元，当前余额685.5万元。</w:t>
      </w:r>
    </w:p>
    <w:p w14:paraId="3B00569C">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default" w:ascii="Times New Roman" w:hAnsi="Times New Roman" w:eastAsia="黑体" w:cs="黑体"/>
          <w:bCs/>
          <w:color w:val="auto"/>
          <w:sz w:val="32"/>
          <w:szCs w:val="32"/>
          <w:highlight w:val="yellow"/>
          <w:lang w:val="en-US" w:eastAsia="zh-CN"/>
        </w:rPr>
      </w:pPr>
      <w:bookmarkStart w:id="29" w:name="_Toc751"/>
      <w:r>
        <w:rPr>
          <w:rFonts w:hint="eastAsia" w:ascii="Times New Roman" w:hAnsi="Times New Roman" w:eastAsia="黑体" w:cs="黑体"/>
          <w:bCs/>
          <w:color w:val="auto"/>
          <w:sz w:val="32"/>
          <w:szCs w:val="32"/>
          <w:highlight w:val="none"/>
          <w:lang w:val="en-US" w:eastAsia="zh-CN"/>
        </w:rPr>
        <w:t>六、</w:t>
      </w:r>
      <w:bookmarkEnd w:id="29"/>
      <w:r>
        <w:rPr>
          <w:rFonts w:hint="eastAsia" w:ascii="Times New Roman" w:hAnsi="Times New Roman" w:eastAsia="黑体" w:cs="黑体"/>
          <w:bCs/>
          <w:color w:val="auto"/>
          <w:sz w:val="32"/>
          <w:szCs w:val="32"/>
          <w:highlight w:val="none"/>
          <w:lang w:val="en-US" w:eastAsia="zh-CN"/>
        </w:rPr>
        <w:t>布局养老金融 满足康养需求</w:t>
      </w:r>
    </w:p>
    <w:p w14:paraId="02CC96C8">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textAlignment w:val="auto"/>
        <w:outlineLvl w:val="1"/>
        <w:rPr>
          <w:rFonts w:hint="eastAsia" w:ascii="楷体_GB2312" w:hAnsi="楷体_GB2312" w:eastAsia="楷体_GB2312" w:cs="楷体_GB2312"/>
          <w:b/>
          <w:bCs/>
          <w:color w:val="auto"/>
          <w:sz w:val="32"/>
          <w:szCs w:val="32"/>
          <w:lang w:val="en-US" w:eastAsia="zh-CN"/>
        </w:rPr>
      </w:pPr>
      <w:bookmarkStart w:id="30" w:name="_Toc29382"/>
      <w:r>
        <w:rPr>
          <w:rFonts w:hint="eastAsia" w:ascii="楷体_GB2312" w:hAnsi="楷体_GB2312" w:eastAsia="楷体_GB2312" w:cs="楷体_GB2312"/>
          <w:b/>
          <w:bCs/>
          <w:color w:val="auto"/>
          <w:sz w:val="32"/>
          <w:szCs w:val="32"/>
          <w:lang w:val="en-US" w:eastAsia="zh-CN"/>
        </w:rPr>
        <w:t>（一）</w:t>
      </w:r>
      <w:bookmarkEnd w:id="30"/>
      <w:r>
        <w:rPr>
          <w:rFonts w:hint="eastAsia" w:ascii="楷体_GB2312" w:hAnsi="楷体_GB2312" w:eastAsia="楷体_GB2312" w:cs="楷体_GB2312"/>
          <w:b/>
          <w:bCs/>
          <w:color w:val="auto"/>
          <w:sz w:val="32"/>
          <w:szCs w:val="32"/>
          <w:lang w:val="en-US" w:eastAsia="zh-CN"/>
        </w:rPr>
        <w:t>提升适老化服务水平</w:t>
      </w:r>
    </w:p>
    <w:p w14:paraId="49E120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bCs/>
          <w:color w:val="auto"/>
          <w:kern w:val="0"/>
          <w:sz w:val="32"/>
          <w:szCs w:val="32"/>
          <w:lang w:eastAsia="zh-CN"/>
        </w:rPr>
        <w:t>烟台银行</w:t>
      </w:r>
      <w:r>
        <w:rPr>
          <w:rFonts w:hint="eastAsia" w:ascii="仿宋_GB2312" w:hAnsi="仿宋_GB2312" w:eastAsia="仿宋_GB2312" w:cs="仿宋_GB2312"/>
          <w:bCs/>
          <w:color w:val="auto"/>
          <w:kern w:val="0"/>
          <w:sz w:val="32"/>
          <w:szCs w:val="32"/>
        </w:rPr>
        <w:t>开设老年客户绿色通道，设置“爱心窗口”，同等情况下优先接待老年客户办理柜面业务；</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厅堂按实际需求弹性设置引导协助人员，除固定1名大堂经理外，网点负责人不定期现身大堂，遇到老年客户时，可以及时辅助完成业务办理；</w:t>
      </w:r>
      <w:r>
        <w:rPr>
          <w:rFonts w:hint="eastAsia" w:ascii="仿宋_GB2312" w:hAnsi="仿宋_GB2312" w:eastAsia="仿宋_GB2312" w:cs="仿宋_GB2312"/>
          <w:bCs/>
          <w:color w:val="auto"/>
          <w:kern w:val="0"/>
          <w:sz w:val="32"/>
          <w:szCs w:val="32"/>
          <w:lang w:eastAsia="zh-CN"/>
        </w:rPr>
        <w:t>在厅堂</w:t>
      </w:r>
      <w:r>
        <w:rPr>
          <w:rFonts w:hint="eastAsia" w:ascii="仿宋_GB2312" w:hAnsi="仿宋_GB2312" w:eastAsia="仿宋_GB2312" w:cs="仿宋_GB2312"/>
          <w:bCs/>
          <w:color w:val="auto"/>
          <w:kern w:val="0"/>
          <w:sz w:val="32"/>
          <w:szCs w:val="32"/>
        </w:rPr>
        <w:t>为老年客户设置舒适的等候休息场所，设置爱心座椅；通过设置无障碍通道，为行动不便的老年客户进出厅堂提供便利；结合老年人实际需求，在原有爱心座椅、老花镜、血压仪等助老便民设施的基础上，视支行情况提供放大镜、应急药品、轮椅等适老、助老设施，为老年客户提供方便；厅堂推行常态化金融知识普及，将“提升老年消费者的风险防范意识”、“提高老年消费者对智能时代下诈骗手段的识别能力”等作为重要宣教内容。</w:t>
      </w:r>
      <w:bookmarkStart w:id="31" w:name="_Toc3741"/>
    </w:p>
    <w:p w14:paraId="42940A72">
      <w:pPr>
        <w:keepNext w:val="0"/>
        <w:keepLines w:val="0"/>
        <w:pageBreakBefore w:val="0"/>
        <w:widowControl w:val="0"/>
        <w:kinsoku/>
        <w:wordWrap/>
        <w:overflowPunct/>
        <w:topLinePunct w:val="0"/>
        <w:autoSpaceDE/>
        <w:autoSpaceDN/>
        <w:bidi w:val="0"/>
        <w:adjustRightInd w:val="0"/>
        <w:snapToGrid w:val="0"/>
        <w:spacing w:line="560" w:lineRule="exact"/>
        <w:ind w:firstLine="641" w:firstLineChars="200"/>
        <w:textAlignment w:val="auto"/>
        <w:outlineLvl w:val="1"/>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w:t>
      </w:r>
      <w:bookmarkEnd w:id="31"/>
      <w:r>
        <w:rPr>
          <w:rFonts w:hint="eastAsia" w:ascii="楷体_GB2312" w:hAnsi="楷体_GB2312" w:eastAsia="楷体_GB2312" w:cs="楷体_GB2312"/>
          <w:b/>
          <w:bCs/>
          <w:color w:val="auto"/>
          <w:sz w:val="32"/>
          <w:szCs w:val="32"/>
          <w:lang w:val="en-US" w:eastAsia="zh-CN"/>
        </w:rPr>
        <w:t>深入推进老年客群经营维护工作</w:t>
      </w:r>
    </w:p>
    <w:p w14:paraId="48BC493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b/>
          <w:bCs/>
          <w:sz w:val="32"/>
          <w:szCs w:val="32"/>
          <w:highlight w:val="none"/>
          <w:lang w:eastAsia="zh-CN"/>
        </w:rPr>
      </w:pPr>
      <w:r>
        <w:rPr>
          <w:rFonts w:hint="eastAsia" w:ascii="仿宋_GB2312" w:hAnsi="仿宋_GB2312" w:eastAsia="仿宋_GB2312" w:cs="仿宋_GB2312"/>
          <w:bCs/>
          <w:color w:val="auto"/>
          <w:kern w:val="0"/>
          <w:sz w:val="32"/>
          <w:szCs w:val="32"/>
        </w:rPr>
        <w:t>做好养老金融“五篇大文章”，</w:t>
      </w:r>
      <w:r>
        <w:rPr>
          <w:rFonts w:hint="eastAsia" w:ascii="仿宋_GB2312" w:hAnsi="仿宋_GB2312" w:eastAsia="仿宋_GB2312" w:cs="仿宋_GB2312"/>
          <w:bCs/>
          <w:color w:val="auto"/>
          <w:kern w:val="0"/>
          <w:sz w:val="32"/>
          <w:szCs w:val="32"/>
          <w:lang w:eastAsia="zh-CN"/>
        </w:rPr>
        <w:t>在</w:t>
      </w:r>
      <w:r>
        <w:rPr>
          <w:rFonts w:hint="eastAsia" w:ascii="仿宋_GB2312" w:hAnsi="仿宋_GB2312" w:eastAsia="仿宋_GB2312" w:cs="仿宋_GB2312"/>
          <w:bCs/>
          <w:color w:val="auto"/>
          <w:kern w:val="0"/>
          <w:sz w:val="32"/>
          <w:szCs w:val="32"/>
        </w:rPr>
        <w:t>2024年“敬老月”期间，</w:t>
      </w:r>
      <w:r>
        <w:rPr>
          <w:rFonts w:hint="eastAsia" w:ascii="仿宋_GB2312" w:hAnsi="仿宋_GB2312" w:eastAsia="仿宋_GB2312" w:cs="仿宋_GB2312"/>
          <w:bCs/>
          <w:color w:val="auto"/>
          <w:kern w:val="0"/>
          <w:sz w:val="32"/>
          <w:szCs w:val="32"/>
          <w:lang w:eastAsia="zh-CN"/>
        </w:rPr>
        <w:t>该行</w:t>
      </w:r>
      <w:r>
        <w:rPr>
          <w:rFonts w:hint="eastAsia" w:ascii="仿宋_GB2312" w:hAnsi="仿宋_GB2312" w:eastAsia="仿宋_GB2312" w:cs="仿宋_GB2312"/>
          <w:bCs/>
          <w:color w:val="auto"/>
          <w:kern w:val="0"/>
          <w:sz w:val="32"/>
          <w:szCs w:val="32"/>
        </w:rPr>
        <w:t>组织全辖</w:t>
      </w:r>
      <w:r>
        <w:rPr>
          <w:rFonts w:hint="eastAsia" w:ascii="仿宋_GB2312" w:hAnsi="仿宋_GB2312" w:eastAsia="仿宋_GB2312" w:cs="仿宋_GB2312"/>
          <w:bCs/>
          <w:color w:val="auto"/>
          <w:kern w:val="0"/>
          <w:sz w:val="32"/>
          <w:szCs w:val="32"/>
          <w:lang w:val="en-US" w:eastAsia="zh-CN"/>
        </w:rPr>
        <w:t>86家营业</w:t>
      </w:r>
      <w:r>
        <w:rPr>
          <w:rFonts w:hint="eastAsia" w:ascii="仿宋_GB2312" w:hAnsi="仿宋_GB2312" w:eastAsia="仿宋_GB2312" w:cs="仿宋_GB2312"/>
          <w:bCs/>
          <w:color w:val="auto"/>
          <w:kern w:val="0"/>
          <w:sz w:val="32"/>
          <w:szCs w:val="32"/>
        </w:rPr>
        <w:t>网点集中开展了重阳节敬老主题系列活动。节日期间，全行各机构结合区域、网点实际，精心组织筹划，以社区、养老机构等养老金融场景为抓手，围绕健康关怀、防诈反非、养老规划、财富传承等老年人关注的话题，通过趣味运动会、手工DIY、文艺演出、健康义诊、反诈宣传、沙龙活动等老年客群喜闻乐见的形式，累计开展敬老主题活动172场，得到了社会的广泛赞誉。</w:t>
      </w:r>
      <w:bookmarkStart w:id="32" w:name="_Toc18834"/>
      <w:r>
        <w:rPr>
          <w:rFonts w:hint="eastAsia" w:ascii="仿宋_GB2312" w:hAnsi="仿宋_GB2312" w:eastAsia="仿宋_GB2312" w:cs="仿宋_GB2312"/>
          <w:b w:val="0"/>
          <w:bCs/>
          <w:color w:val="auto"/>
          <w:kern w:val="0"/>
          <w:sz w:val="32"/>
          <w:szCs w:val="32"/>
          <w:lang w:val="en-US" w:eastAsia="zh-CN"/>
        </w:rPr>
        <w:t xml:space="preserve">   </w:t>
      </w:r>
      <w:r>
        <w:rPr>
          <w:rFonts w:hint="eastAsia" w:ascii="楷体_GB2312" w:hAnsi="楷体_GB2312" w:eastAsia="楷体_GB2312" w:cs="楷体_GB2312"/>
          <w:b/>
          <w:bCs/>
          <w:sz w:val="32"/>
          <w:szCs w:val="32"/>
          <w:lang w:val="en-US" w:eastAsia="zh-CN"/>
        </w:rPr>
        <w:t xml:space="preserve"> </w:t>
      </w:r>
      <w:bookmarkEnd w:id="32"/>
      <w:bookmarkStart w:id="33" w:name="_Toc2048"/>
    </w:p>
    <w:bookmarkEnd w:id="33"/>
    <w:p w14:paraId="7A709E3F">
      <w:pPr>
        <w:keepNext w:val="0"/>
        <w:keepLines w:val="0"/>
        <w:pageBreakBefore w:val="0"/>
        <w:widowControl w:val="0"/>
        <w:numPr>
          <w:ilvl w:val="0"/>
          <w:numId w:val="0"/>
        </w:numPr>
        <w:tabs>
          <w:tab w:val="left" w:pos="469"/>
        </w:tabs>
        <w:kinsoku/>
        <w:wordWrap/>
        <w:overflowPunct/>
        <w:topLinePunct w:val="0"/>
        <w:bidi w:val="0"/>
        <w:adjustRightInd w:val="0"/>
        <w:snapToGrid w:val="0"/>
        <w:spacing w:line="560" w:lineRule="exact"/>
        <w:ind w:left="0" w:leftChars="0"/>
        <w:textAlignment w:val="auto"/>
        <w:outlineLvl w:val="0"/>
        <w:rPr>
          <w:rFonts w:hint="eastAsia" w:ascii="Times New Roman" w:hAnsi="Times New Roman" w:eastAsia="黑体" w:cs="黑体"/>
          <w:bCs/>
          <w:sz w:val="32"/>
          <w:szCs w:val="32"/>
          <w:highlight w:val="yellow"/>
          <w:lang w:val="en-US" w:eastAsia="zh-CN"/>
        </w:rPr>
      </w:pPr>
      <w:r>
        <w:rPr>
          <w:rFonts w:hint="eastAsia" w:ascii="Times New Roman" w:hAnsi="Times New Roman" w:eastAsia="黑体" w:cs="黑体"/>
          <w:bCs/>
          <w:sz w:val="32"/>
          <w:szCs w:val="32"/>
          <w:highlight w:val="none"/>
          <w:lang w:val="en-US" w:eastAsia="zh-CN"/>
        </w:rPr>
        <w:t xml:space="preserve">    </w:t>
      </w:r>
      <w:bookmarkStart w:id="34" w:name="_Toc17040"/>
      <w:r>
        <w:rPr>
          <w:rFonts w:hint="eastAsia" w:ascii="Times New Roman" w:hAnsi="Times New Roman" w:eastAsia="黑体" w:cs="黑体"/>
          <w:bCs/>
          <w:sz w:val="32"/>
          <w:szCs w:val="32"/>
          <w:highlight w:val="none"/>
          <w:lang w:val="en-US" w:eastAsia="zh-CN"/>
        </w:rPr>
        <w:t>七</w:t>
      </w:r>
      <w:r>
        <w:rPr>
          <w:rFonts w:hint="eastAsia" w:ascii="Times New Roman" w:hAnsi="Times New Roman" w:eastAsia="黑体" w:cs="黑体"/>
          <w:bCs/>
          <w:sz w:val="32"/>
          <w:szCs w:val="32"/>
          <w:highlight w:val="none"/>
        </w:rPr>
        <w:t>、</w:t>
      </w:r>
      <w:bookmarkEnd w:id="28"/>
      <w:bookmarkEnd w:id="34"/>
      <w:r>
        <w:rPr>
          <w:rFonts w:hint="eastAsia" w:ascii="Times New Roman" w:hAnsi="Times New Roman" w:eastAsia="黑体" w:cs="黑体"/>
          <w:bCs/>
          <w:sz w:val="32"/>
          <w:szCs w:val="32"/>
          <w:highlight w:val="none"/>
        </w:rPr>
        <w:t>打造数字金融 驱动数智赋能</w:t>
      </w:r>
    </w:p>
    <w:p w14:paraId="2E1A6AC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1" w:firstLineChars="200"/>
        <w:textAlignment w:val="auto"/>
        <w:rPr>
          <w:rFonts w:hint="eastAsia" w:ascii="楷体_GB2312" w:hAnsi="楷体_GB2312" w:eastAsia="楷体_GB2312" w:cs="楷体_GB2312"/>
          <w:b/>
          <w:bCs w:val="0"/>
          <w:color w:val="auto"/>
          <w:kern w:val="0"/>
          <w:sz w:val="32"/>
          <w:szCs w:val="32"/>
          <w:highlight w:val="none"/>
          <w:lang w:val="en-US" w:eastAsia="zh-CN"/>
        </w:rPr>
      </w:pPr>
      <w:r>
        <w:rPr>
          <w:rFonts w:hint="eastAsia" w:ascii="楷体_GB2312" w:hAnsi="楷体_GB2312" w:eastAsia="楷体_GB2312" w:cs="楷体_GB2312"/>
          <w:b/>
          <w:bCs w:val="0"/>
          <w:color w:val="auto"/>
          <w:kern w:val="0"/>
          <w:sz w:val="32"/>
          <w:szCs w:val="32"/>
          <w:highlight w:val="none"/>
          <w:lang w:val="en-US" w:eastAsia="zh-CN"/>
        </w:rPr>
        <w:t>（一）深耕金融科技</w:t>
      </w:r>
    </w:p>
    <w:p w14:paraId="3002B46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为响应国家金融科技发展战略，烟台银行聚焦数字化转型，于2024年启动新一代智能设备平台系统建设，旨在通过科技创新优化服务流程、提升客户体验，并满足金融信息化、智能化快速发展需求，增强自助设备智能化程度。该系统新增客户360查询、打印，现金实物交付、账户状态调整，账户等级维护，存款账户限额控制，通知存款支取设定等十余个业务功能，并嵌入事前校验、适老化、永居证等系统性功能，在丰富业务种类的同时提升客户体验感。</w:t>
      </w:r>
    </w:p>
    <w:p w14:paraId="27F8C76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在新一代智能设备平台系统试点阶段，烟台银行选取烟台银行牟平支行、烟台开发区天山路支行、总行营业部作为首批应用机构，于2024年12月11日晚完成新一代智能设备平台系统切换工作。截至2024年12月31日，试点机构日均业务量达30笔，峰值突破60笔，较切换前增长50%；通过客户满意度调查显示，90%的用户对“一键式操作”和“无障碍服务”给予高度评价。该成果以科技驱动服务升级，为实体经济与民生领域提供高效、安全的金融支持。</w:t>
      </w:r>
    </w:p>
    <w:p w14:paraId="6A3636A3">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1" w:firstLineChars="200"/>
        <w:textAlignment w:val="auto"/>
        <w:rPr>
          <w:rFonts w:hint="eastAsia" w:ascii="楷体_GB2312" w:hAnsi="楷体_GB2312" w:eastAsia="楷体_GB2312" w:cs="楷体_GB2312"/>
          <w:b/>
          <w:bCs w:val="0"/>
          <w:color w:val="auto"/>
          <w:kern w:val="0"/>
          <w:sz w:val="32"/>
          <w:szCs w:val="32"/>
          <w:highlight w:val="none"/>
          <w:lang w:val="en-US" w:eastAsia="zh-CN"/>
        </w:rPr>
      </w:pPr>
      <w:r>
        <w:rPr>
          <w:rFonts w:hint="eastAsia" w:ascii="楷体_GB2312" w:hAnsi="楷体_GB2312" w:eastAsia="楷体_GB2312" w:cs="楷体_GB2312"/>
          <w:b/>
          <w:bCs w:val="0"/>
          <w:color w:val="auto"/>
          <w:kern w:val="0"/>
          <w:sz w:val="32"/>
          <w:szCs w:val="32"/>
          <w:highlight w:val="none"/>
          <w:lang w:val="en-US" w:eastAsia="zh-CN"/>
        </w:rPr>
        <w:t>助力产业数字化转型</w:t>
      </w:r>
    </w:p>
    <w:p w14:paraId="67F50F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楷体_GB2312" w:hAnsi="楷体_GB2312" w:eastAsia="楷体_GB2312" w:cs="楷体_GB2312"/>
          <w:b/>
          <w:bCs/>
          <w:color w:val="auto"/>
          <w:sz w:val="32"/>
          <w:szCs w:val="32"/>
          <w:highlight w:val="none"/>
          <w:lang w:val="en-US" w:eastAsia="zh-CN"/>
        </w:rPr>
      </w:pPr>
      <w:r>
        <w:rPr>
          <w:rFonts w:hint="eastAsia" w:ascii="仿宋_GB2312" w:hAnsi="仿宋_GB2312" w:eastAsia="仿宋_GB2312" w:cs="仿宋_GB2312"/>
          <w:bCs/>
          <w:color w:val="auto"/>
          <w:kern w:val="0"/>
          <w:sz w:val="32"/>
          <w:szCs w:val="32"/>
          <w:lang w:val="en-US" w:eastAsia="zh-CN"/>
        </w:rPr>
        <w:t>2024年，烟台银行紧扣制造强国战略，以专项政策与创新服务双轮驱动，全面助力传统产业数字化转型。截至2024年末，烟台银行信贷支持覆盖9大产业集群163家企业，其中支持传统产业数字化转型贷款余额10.66亿元，较年初增长50.99%。近年来，我行先后推出链式快贷、快易贷、税融贷、结算贷、科技贷、创业系列贷、政府采购贷、鲁担惠农贷、高成长创新型企业贷、烟青普惠贷等多个创新产品。其中，“科技成果转化贷”是我行通过与政府科技部门合作，向政府科技部门审查推荐的科技型企业提供的用于企业科技成果转化的融资服务；“绿碳贷”是我行向从事绿色低碳行业的环保、节能、清洁能源、绿色交通、绿色建筑、生态固碳、技术固碳等领域的科创企业或符合条件的非科创中小企微型企业发放的用于支持企业减少、控制碳排放，或增加、促进碳吸收的人民币贷款业务；“高成长创新型企业贷”是对政府相关部门下发的《高成长创新型企业名录》内独角兽企业、瞪羚企业、专精特新“小巨人”企业及制造业单项冠军等企业提供融资支持。通过不断完善产品服务体系，强化新产品培训和产品推广，有力地促进并丰富企业对产品的需求，优化基础客户群体培育。针对企业无传统抵押物的问题，我行积极创新抵质押方式，利用交通运输工具抵押、知识产权质押、海域使用权抵押等方式为企业增信，并降低费率，畅通贷款风险缓释渠道，支持企业发展。通过政策引导、服务优化与产品创新，烟台银行为产业数字化转型注入强劲金融动能。</w:t>
      </w:r>
    </w:p>
    <w:p w14:paraId="1CDDDBFF">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0" w:leftChars="0" w:firstLine="641" w:firstLineChars="200"/>
        <w:textAlignment w:val="auto"/>
        <w:rPr>
          <w:rFonts w:hint="eastAsia" w:ascii="楷体_GB2312" w:hAnsi="楷体_GB2312" w:eastAsia="楷体_GB2312" w:cs="楷体_GB2312"/>
          <w:b/>
          <w:bCs w:val="0"/>
          <w:color w:val="auto"/>
          <w:kern w:val="0"/>
          <w:sz w:val="32"/>
          <w:szCs w:val="32"/>
          <w:highlight w:val="none"/>
          <w:lang w:val="en-US" w:eastAsia="zh-CN"/>
        </w:rPr>
      </w:pPr>
      <w:r>
        <w:rPr>
          <w:rFonts w:hint="eastAsia" w:ascii="楷体_GB2312" w:hAnsi="楷体_GB2312" w:eastAsia="楷体_GB2312" w:cs="楷体_GB2312"/>
          <w:b/>
          <w:bCs w:val="0"/>
          <w:color w:val="auto"/>
          <w:kern w:val="0"/>
          <w:sz w:val="32"/>
          <w:szCs w:val="32"/>
          <w:highlight w:val="none"/>
          <w:lang w:val="en-US" w:eastAsia="zh-CN"/>
        </w:rPr>
        <w:t>推动数字经济发展</w:t>
      </w:r>
    </w:p>
    <w:p w14:paraId="728CFC4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eastAsia" w:ascii="黑体" w:hAnsi="黑体" w:eastAsia="黑体" w:cs="黑体"/>
          <w:bCs/>
          <w:color w:val="auto"/>
          <w:sz w:val="32"/>
          <w:szCs w:val="32"/>
          <w:highlight w:val="none"/>
          <w:lang w:val="en-US" w:eastAsia="zh-CN"/>
        </w:rPr>
      </w:pPr>
      <w:r>
        <w:rPr>
          <w:rFonts w:hint="eastAsia" w:ascii="仿宋_GB2312" w:hAnsi="仿宋_GB2312" w:eastAsia="仿宋_GB2312" w:cs="仿宋_GB2312"/>
          <w:bCs/>
          <w:color w:val="auto"/>
          <w:kern w:val="0"/>
          <w:sz w:val="32"/>
          <w:szCs w:val="32"/>
          <w:lang w:val="en-US" w:eastAsia="zh-CN"/>
        </w:rPr>
        <w:t>烟台银行全面落实省委省政府《关于加快数字经济高质量发展的意见》的要求，深化产业数字赋能，推动服务业数字化提速。</w:t>
      </w:r>
      <w:r>
        <w:rPr>
          <w:rFonts w:hint="eastAsia" w:ascii="仿宋_GB2312" w:hAnsi="仿宋_GB2312" w:eastAsia="仿宋_GB2312" w:cs="仿宋_GB2312"/>
          <w:i w:val="0"/>
          <w:caps w:val="0"/>
          <w:color w:val="auto"/>
          <w:spacing w:val="0"/>
          <w:sz w:val="32"/>
          <w:szCs w:val="32"/>
        </w:rPr>
        <w:t>坚持金融服务实体经济和以人民为中心，把握机遇、重视安全，以数据要素和数字技术为关键驱动，</w:t>
      </w:r>
      <w:r>
        <w:rPr>
          <w:rFonts w:hint="eastAsia" w:ascii="仿宋_GB2312" w:hAnsi="仿宋_GB2312" w:eastAsia="仿宋_GB2312" w:cs="仿宋_GB2312"/>
          <w:color w:val="auto"/>
          <w:kern w:val="2"/>
          <w:sz w:val="32"/>
          <w:szCs w:val="32"/>
          <w:lang w:val="en-US" w:eastAsia="zh-CN" w:bidi="ar-SA"/>
        </w:rPr>
        <w:t>聚焦效能和安全，</w:t>
      </w:r>
      <w:r>
        <w:rPr>
          <w:rFonts w:hint="eastAsia" w:ascii="仿宋_GB2312" w:hAnsi="仿宋_GB2312" w:eastAsia="仿宋_GB2312" w:cs="仿宋_GB2312"/>
          <w:i w:val="0"/>
          <w:caps w:val="0"/>
          <w:color w:val="auto"/>
          <w:spacing w:val="0"/>
          <w:sz w:val="32"/>
          <w:szCs w:val="32"/>
        </w:rPr>
        <w:t>加快推进数字化转型，提高金融服务的便利性和竞争力，</w:t>
      </w:r>
      <w:r>
        <w:rPr>
          <w:rFonts w:hint="eastAsia" w:ascii="仿宋_GB2312" w:hAnsi="仿宋_GB2312" w:eastAsia="仿宋_GB2312" w:cs="仿宋_GB2312"/>
          <w:color w:val="auto"/>
          <w:kern w:val="2"/>
          <w:sz w:val="32"/>
          <w:szCs w:val="32"/>
          <w:lang w:val="en-US" w:eastAsia="zh-CN" w:bidi="ar-SA"/>
        </w:rPr>
        <w:t>降低服务成本</w:t>
      </w:r>
      <w:r>
        <w:rPr>
          <w:rFonts w:hint="eastAsia" w:ascii="仿宋_GB2312" w:hAnsi="仿宋_GB2312" w:cs="仿宋_GB2312"/>
          <w:color w:val="auto"/>
          <w:kern w:val="2"/>
          <w:sz w:val="32"/>
          <w:szCs w:val="32"/>
          <w:lang w:val="en-US" w:eastAsia="zh-CN" w:bidi="ar-SA"/>
        </w:rPr>
        <w:t>，</w:t>
      </w:r>
      <w:r>
        <w:rPr>
          <w:rFonts w:hint="eastAsia" w:ascii="仿宋_GB2312" w:hAnsi="仿宋_GB2312" w:eastAsia="仿宋_GB2312" w:cs="仿宋_GB2312"/>
          <w:i w:val="0"/>
          <w:caps w:val="0"/>
          <w:color w:val="auto"/>
          <w:spacing w:val="0"/>
          <w:sz w:val="32"/>
          <w:szCs w:val="32"/>
        </w:rPr>
        <w:t>助力金融强国建设，支持做强做优做大我国数字经济。</w:t>
      </w:r>
      <w:r>
        <w:rPr>
          <w:rFonts w:hint="eastAsia" w:ascii="仿宋_GB2312" w:hAnsi="仿宋_GB2312" w:eastAsia="仿宋_GB2312" w:cs="仿宋_GB2312"/>
          <w:bCs/>
          <w:color w:val="auto"/>
          <w:kern w:val="0"/>
          <w:sz w:val="32"/>
          <w:szCs w:val="32"/>
          <w:lang w:val="en-US" w:eastAsia="zh-CN"/>
        </w:rPr>
        <w:t>截至2024年末，数字经济贷款余额6.48亿元，累计发放数字经济贷款5.6亿元，充分发挥了金融支持企业减负纾困作用，推动普惠金融提质扩面，全面提升银行业服务实体经济质效。</w:t>
      </w:r>
    </w:p>
    <w:p w14:paraId="7BECC58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eastAsia" w:ascii="黑体" w:hAnsi="黑体" w:eastAsia="黑体" w:cs="黑体"/>
          <w:bCs/>
          <w:color w:val="auto"/>
          <w:sz w:val="32"/>
          <w:szCs w:val="32"/>
          <w:highlight w:val="none"/>
          <w:lang w:val="en-US" w:eastAsia="zh-CN"/>
        </w:rPr>
      </w:pPr>
      <w:r>
        <w:rPr>
          <w:rFonts w:hint="eastAsia" w:ascii="黑体" w:hAnsi="黑体" w:eastAsia="黑体" w:cs="黑体"/>
          <w:bCs/>
          <w:color w:val="auto"/>
          <w:sz w:val="32"/>
          <w:szCs w:val="32"/>
          <w:highlight w:val="none"/>
          <w:lang w:val="en-US" w:eastAsia="zh-CN"/>
        </w:rPr>
        <w:t>八、强化行业自律 提升服务质效</w:t>
      </w:r>
    </w:p>
    <w:p w14:paraId="6FD8BC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1" w:firstLineChars="200"/>
        <w:textAlignment w:val="auto"/>
        <w:rPr>
          <w:rFonts w:hint="eastAsia" w:ascii="楷体_GB2312" w:hAnsi="楷体_GB2312" w:eastAsia="楷体_GB2312" w:cs="楷体_GB2312"/>
          <w:b/>
          <w:bCs/>
          <w:color w:val="auto"/>
          <w:sz w:val="32"/>
          <w:szCs w:val="32"/>
          <w:highlight w:val="yellow"/>
          <w:lang w:val="en-US" w:eastAsia="zh-CN"/>
        </w:rPr>
      </w:pPr>
      <w:r>
        <w:rPr>
          <w:rFonts w:hint="eastAsia" w:ascii="楷体_GB2312" w:hAnsi="楷体_GB2312" w:eastAsia="楷体_GB2312" w:cs="楷体_GB2312"/>
          <w:b/>
          <w:bCs/>
          <w:color w:val="auto"/>
          <w:sz w:val="32"/>
          <w:szCs w:val="32"/>
          <w:lang w:val="en-US" w:eastAsia="zh-CN"/>
        </w:rPr>
        <w:t>（一）开展防非打非工作</w:t>
      </w:r>
    </w:p>
    <w:p w14:paraId="132F43D7">
      <w:pPr>
        <w:keepNext w:val="0"/>
        <w:keepLines w:val="0"/>
        <w:pageBreakBefore w:val="0"/>
        <w:widowControl w:val="0"/>
        <w:kinsoku/>
        <w:wordWrap/>
        <w:overflowPunct/>
        <w:topLinePunct w:val="0"/>
        <w:bidi w:val="0"/>
        <w:adjustRightIn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 xml:space="preserve"> 烟台银行作为扎根本土的地方法人金融机构，深入贯彻落实中央及省委金融工作会议精神，履行金融机构职责，认真践行社会担当，积极开展防范和打击非法集资工作，切实保护广大市民的合法权益，维护金融健康发展和社会稳定。</w:t>
      </w:r>
    </w:p>
    <w:p w14:paraId="52EA43D9">
      <w:pPr>
        <w:keepNext w:val="0"/>
        <w:keepLines w:val="0"/>
        <w:pageBreakBefore w:val="0"/>
        <w:widowControl w:val="0"/>
        <w:kinsoku/>
        <w:wordWrap/>
        <w:overflowPunct/>
        <w:topLinePunct w:val="0"/>
        <w:bidi w:val="0"/>
        <w:adjustRightIn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一、建立防范非法集资常态化工作机制。该行始终将防范非法集资作为一项重要任务来抓，为确保相关工作有效开展，建立起常态化防范非法集资工作机制。一是加强组织保障，构筑责任“网格”。总行成立防范非法集资工作领导小组，由单位“一把手”担任组长；各分支机构设立实施小组，负责辖区内防范非法集资监测预警、风险排查、日常宣教等工作。二是健全管理制度，明确工作规范。认真落实“外规内化”，完善业务机制及操作流程，严格执行身份识别、交易监测要求，提升风险判识及处置能力；建立常态化宣教机制，加强内部培训及防诈知识普及，提高风险防范意识和辨别能力；严格落实员工行为管理，严禁工作人员参与非法集资活动。三是保持密切沟通，提升判识处置效率。结合数字化转型，提升反洗钱交易监测系统智能化水平，严格执行大额和可疑交易报告制度，并与监管部门保持密切沟通，对涉嫌非法集资、资金异常流动的账户进行分析识别，及时、准确报告可疑情况;丰富监测渠道，通过柜面识别、客户举报等途径，及时发现可疑情况，进行重点排查。</w:t>
      </w:r>
    </w:p>
    <w:p w14:paraId="555641B6">
      <w:pPr>
        <w:keepNext w:val="0"/>
        <w:keepLines w:val="0"/>
        <w:pageBreakBefore w:val="0"/>
        <w:widowControl w:val="0"/>
        <w:kinsoku/>
        <w:wordWrap/>
        <w:overflowPunct/>
        <w:topLinePunct w:val="0"/>
        <w:bidi w:val="0"/>
        <w:adjustRightIn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二、多层级开展防范非法集资宣教及监测工作。一是发挥网点优势，搭建宣传“阵地”。疏与堵相结合，一方面利用本地城商行网点覆盖面广的特点，常年播放宣传标语、视频，摆放宣传折页、海报，普及非法集资的特征及危害，宣传正确理财知识、投资理念。另一方面，发挥厅堂“阵地”作用，为客户答疑解惑，疏解市民金融理财上的需求和疑惑从源头上堵截非法集资违法行为。2024年以来，烟台银行向市民发放宣传手册、宣传品3万余份，布设各类宣传标语340余次。二是贴近广大市民，入乡入企开展“七进”宣传。常年开展进机关、进企业、进学校、进家庭、进社区、进村镇、进网点“七进”宣传，紧紧围绕重点区域、重点地区、重点人群，积极探索、创新宣传形式，面对面向社会大众宣传防范非法集资知识和开展普法工作。2024年以来，我行共开展“七进”宣传活动200余次，参与群众1.1万余人次，开展面对面专题培训30余次，得到市民的广泛好评。</w:t>
      </w:r>
    </w:p>
    <w:p w14:paraId="12E47696">
      <w:pPr>
        <w:keepNext w:val="0"/>
        <w:keepLines w:val="0"/>
        <w:pageBreakBefore w:val="0"/>
        <w:widowControl w:val="0"/>
        <w:kinsoku/>
        <w:wordWrap/>
        <w:overflowPunct/>
        <w:topLinePunct w:val="0"/>
        <w:bidi w:val="0"/>
        <w:adjustRightInd w:val="0"/>
        <w:spacing w:line="560" w:lineRule="exact"/>
        <w:ind w:left="0" w:leftChars="0" w:firstLine="640" w:firstLineChars="200"/>
        <w:textAlignment w:val="auto"/>
        <w:rPr>
          <w:rFonts w:hint="eastAsia" w:ascii="仿宋_GB2312" w:hAnsi="仿宋_GB2312" w:eastAsia="仿宋_GB2312" w:cs="仿宋_GB2312"/>
          <w:b w:val="0"/>
          <w:bCs/>
          <w:color w:val="auto"/>
          <w:kern w:val="0"/>
          <w:sz w:val="32"/>
          <w:szCs w:val="32"/>
          <w:lang w:val="en-US" w:eastAsia="zh-CN"/>
        </w:rPr>
      </w:pPr>
      <w:r>
        <w:rPr>
          <w:rFonts w:hint="eastAsia" w:ascii="仿宋_GB2312" w:hAnsi="仿宋_GB2312" w:eastAsia="仿宋_GB2312" w:cs="仿宋_GB2312"/>
          <w:b w:val="0"/>
          <w:bCs/>
          <w:color w:val="auto"/>
          <w:kern w:val="0"/>
          <w:sz w:val="32"/>
          <w:szCs w:val="32"/>
          <w:lang w:val="en-US" w:eastAsia="zh-CN"/>
        </w:rPr>
        <w:t>三、创新宣传模式，线上线下丰富宣传渠道。利用公众号、抖音、微博等线上媒介，发布形式多样的宣传文稿、公益视频，营造线上良好宣传氛围，提升社会大众接受度，进一步引导认清非法集资的“真面目”，提高防范意识。2024年以来，发布原创作品20余篇，转发量、点击量2.2万余次。</w:t>
      </w:r>
    </w:p>
    <w:p w14:paraId="5640903F">
      <w:pPr>
        <w:keepNext w:val="0"/>
        <w:keepLines w:val="0"/>
        <w:pageBreakBefore w:val="0"/>
        <w:widowControl w:val="0"/>
        <w:numPr>
          <w:ilvl w:val="-1"/>
          <w:numId w:val="0"/>
        </w:numPr>
        <w:kinsoku/>
        <w:wordWrap/>
        <w:overflowPunct/>
        <w:topLinePunct w:val="0"/>
        <w:bidi w:val="0"/>
        <w:adjustRightInd w:val="0"/>
        <w:snapToGrid w:val="0"/>
        <w:spacing w:line="560" w:lineRule="exact"/>
        <w:ind w:left="0" w:leftChars="0" w:firstLine="641" w:firstLineChars="200"/>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（二）优化文明规范服务</w:t>
      </w:r>
    </w:p>
    <w:p w14:paraId="6DF1A54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textAlignment w:val="auto"/>
        <w:outlineLvl w:val="1"/>
        <w:rPr>
          <w:rFonts w:hint="eastAsia" w:ascii="仿宋_GB2312" w:hAnsi="仿宋_GB2312" w:eastAsia="仿宋_GB2312" w:cs="仿宋_GB2312"/>
          <w:b w:val="0"/>
          <w:bCs/>
          <w:color w:val="auto"/>
          <w:kern w:val="0"/>
          <w:sz w:val="32"/>
          <w:szCs w:val="32"/>
          <w:lang w:val="zh-CN" w:eastAsia="zh-CN"/>
        </w:rPr>
      </w:pPr>
      <w:r>
        <w:rPr>
          <w:rFonts w:hint="eastAsia" w:ascii="楷体_GB2312" w:hAnsi="楷体_GB2312" w:eastAsia="楷体_GB2312" w:cs="楷体_GB2312"/>
          <w:b/>
          <w:bCs/>
          <w:color w:val="auto"/>
          <w:sz w:val="32"/>
          <w:szCs w:val="32"/>
          <w:lang w:val="en-US" w:eastAsia="zh-CN"/>
        </w:rPr>
        <w:t xml:space="preserve">    </w:t>
      </w:r>
      <w:r>
        <w:rPr>
          <w:rFonts w:hint="eastAsia" w:ascii="仿宋_GB2312" w:hAnsi="仿宋_GB2312" w:eastAsia="仿宋_GB2312" w:cs="仿宋_GB2312"/>
          <w:bCs/>
          <w:color w:val="auto"/>
          <w:kern w:val="0"/>
          <w:sz w:val="32"/>
          <w:szCs w:val="32"/>
          <w:lang w:val="zh-CN" w:eastAsia="zh-CN"/>
        </w:rPr>
        <w:t>烟台银行在厅堂内设有“爱心窗口”“快速办理窗口”，为老年人和境外来华人员开设办理业务“绿色通道”，并结合老年人实际需求，在原有爱心座椅、老花镜、放大镜等助老便民设施的基础上增配血压计；在厅堂推行常态化金融知识普及，将“提升老年消费者的风险防范意识”、“提高老年消费者对智能时代下诈骗手段的识别能力”等作为重要宣教内容。编制《烟台银行境外来华人员开户服务指南》，优化境外来华人员开户服务流程，提升账户开立效率；在境外人员开户较多、机场、火车站、酒店、景区等重点场景区域，筛选了12家网点作为境外来华人员重点服务网点并配备翻译器，并确定总行营业部、蓬莱机场支行两个网点作为烟台市外籍来华人员账户服务重点网点，提升境外来华人员金融服务体验。</w:t>
      </w:r>
    </w:p>
    <w:p w14:paraId="3017CB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1" w:firstLineChars="200"/>
        <w:textAlignment w:val="auto"/>
        <w:outlineLvl w:val="1"/>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（三）强化消保工作</w:t>
      </w:r>
    </w:p>
    <w:p w14:paraId="729253F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仿宋_GB2312" w:hAnsi="仿宋_GB2312" w:eastAsia="仿宋_GB2312" w:cs="仿宋_GB2312"/>
          <w:bCs/>
          <w:color w:val="auto"/>
          <w:kern w:val="0"/>
          <w:sz w:val="32"/>
          <w:szCs w:val="32"/>
          <w:shd w:val="clear"/>
          <w:lang w:val="en-US" w:eastAsia="zh-CN" w:bidi="ar-SA"/>
        </w:rPr>
        <w:t>烟台银行以“消保前置审查”作为关键防线，以“金融消费者八项权利”作为保障重点，以“诉访压降”作为重要目标，以“维护金融消费者合法权益”作为工作出发点和落脚点，以奋斗姿态书写了“消保为民践初心”的新篇章。</w:t>
      </w:r>
    </w:p>
    <w:p w14:paraId="3CDC8E7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楷体_GB2312" w:hAnsi="楷体_GB2312" w:eastAsia="楷体_GB2312" w:cs="楷体_GB2312"/>
          <w:bCs/>
          <w:color w:val="auto"/>
          <w:kern w:val="0"/>
          <w:sz w:val="32"/>
          <w:szCs w:val="32"/>
          <w:shd w:val="clear"/>
          <w:lang w:val="en-US" w:eastAsia="zh-CN" w:bidi="ar-SA"/>
        </w:rPr>
        <w:t>一、持续完善体制机制，提供制度遵循保障</w:t>
      </w:r>
    </w:p>
    <w:p w14:paraId="4E1C0F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仿宋_GB2312" w:hAnsi="仿宋_GB2312" w:eastAsia="仿宋_GB2312" w:cs="仿宋_GB2312"/>
          <w:bCs/>
          <w:color w:val="auto"/>
          <w:kern w:val="0"/>
          <w:sz w:val="32"/>
          <w:szCs w:val="32"/>
          <w:shd w:val="clear"/>
          <w:lang w:val="en-US" w:eastAsia="zh-CN" w:bidi="ar-SA"/>
        </w:rPr>
        <w:t>2024年，该行结合工作实际修订了《烟台银行消费者权益保护工作管理办法》、《烟台银行投诉处理管理办法》、《烟台银行消费者权益保护应急预案》，其中《烟台银行消费者权益保护工作管理办法》从组织架构、职能分工、运行机制、主体责任等方面对消费者权益保护工作的开展进行了全面规范，明确董事会承担消费者权益保护工作的最终责任，消费者权益保护委员会负责消费者权益保护工作的管理、评估和监督，从制度层面保障了消费者权益保护工作落地实施。</w:t>
      </w:r>
    </w:p>
    <w:p w14:paraId="311ACF4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楷体_GB2312" w:hAnsi="楷体_GB2312" w:eastAsia="楷体_GB2312" w:cs="楷体_GB2312"/>
          <w:bCs/>
          <w:color w:val="auto"/>
          <w:kern w:val="0"/>
          <w:sz w:val="32"/>
          <w:szCs w:val="32"/>
          <w:shd w:val="clear"/>
          <w:lang w:val="en-US" w:eastAsia="zh-CN" w:bidi="ar-SA"/>
        </w:rPr>
        <w:t>二、发挥考核指挥棒作用，全面压实主体责任</w:t>
      </w:r>
    </w:p>
    <w:p w14:paraId="3634A1B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仿宋_GB2312" w:hAnsi="仿宋_GB2312" w:eastAsia="仿宋_GB2312" w:cs="仿宋_GB2312"/>
          <w:bCs/>
          <w:color w:val="auto"/>
          <w:kern w:val="0"/>
          <w:sz w:val="32"/>
          <w:szCs w:val="32"/>
          <w:shd w:val="clear"/>
          <w:lang w:val="en-US" w:eastAsia="zh-CN" w:bidi="ar-SA"/>
        </w:rPr>
        <w:t>建立“主要领导负总责、分管领导具体负责、其他领导一岗双责、纪委监察组组长监督问责”的领导责任体系，领导包案跟进化解分管领域的重大、重复信访投诉事项，全行上下认真履行主体责任。制定科学合理的考核标准，将消费者权益保护考核在综合绩效考核体系中的占比提高至5%，同时将消费者权益保护内部考核结果纳入机构问责体系和人力资源管理体系，通过考核促进消保工作。</w:t>
      </w:r>
    </w:p>
    <w:p w14:paraId="6377C69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楷体_GB2312" w:hAnsi="楷体_GB2312" w:eastAsia="楷体_GB2312" w:cs="楷体_GB2312"/>
          <w:bCs/>
          <w:color w:val="auto"/>
          <w:kern w:val="0"/>
          <w:sz w:val="32"/>
          <w:szCs w:val="32"/>
          <w:shd w:val="clear"/>
          <w:lang w:val="en-US" w:eastAsia="zh-CN" w:bidi="ar-SA"/>
        </w:rPr>
        <w:t>三、强化过程管理监督，确保机制运行通畅</w:t>
      </w:r>
    </w:p>
    <w:p w14:paraId="0A80946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仿宋_GB2312" w:hAnsi="仿宋_GB2312" w:eastAsia="仿宋_GB2312" w:cs="仿宋_GB2312"/>
          <w:bCs/>
          <w:color w:val="auto"/>
          <w:kern w:val="0"/>
          <w:sz w:val="32"/>
          <w:szCs w:val="32"/>
          <w:shd w:val="clear"/>
          <w:lang w:val="en-US" w:eastAsia="zh-CN" w:bidi="ar-SA"/>
        </w:rPr>
        <w:t>强化消费者权益保护事前审查工作。从消保角度对产品和服务进行事前审查，及时对潜在侵害消费者合法权益的条款进行修订，识别、提示风险，筑牢第一道防线。2024年持续进行165次消保审查，审查产品、活动规则、权益须知、管理办法、合同逾260余份，将消保理念纳入到产品研发和营销的全过程并持续督促落实。</w:t>
      </w:r>
    </w:p>
    <w:p w14:paraId="0154FC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楷体_GB2312" w:hAnsi="楷体_GB2312" w:eastAsia="楷体_GB2312" w:cs="楷体_GB2312"/>
          <w:bCs/>
          <w:color w:val="auto"/>
          <w:kern w:val="0"/>
          <w:sz w:val="32"/>
          <w:szCs w:val="32"/>
          <w:shd w:val="clear"/>
          <w:lang w:val="en-US" w:eastAsia="zh-CN" w:bidi="ar-SA"/>
        </w:rPr>
        <w:t>四、创新工作举措，培育消保文化</w:t>
      </w:r>
    </w:p>
    <w:p w14:paraId="1E51BBF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仿宋_GB2312" w:hAnsi="仿宋_GB2312" w:eastAsia="仿宋_GB2312" w:cs="仿宋_GB2312"/>
          <w:bCs/>
          <w:color w:val="auto"/>
          <w:kern w:val="0"/>
          <w:sz w:val="32"/>
          <w:szCs w:val="32"/>
          <w:shd w:val="clear"/>
          <w:lang w:val="en-US" w:eastAsia="zh-CN" w:bidi="ar-SA"/>
        </w:rPr>
        <w:t>一是制定消保“三年”工作规划。创建“烟诚消保”品牌，开设专栏。线上，发布八项基本权益、警惕征信修复的陷阱、沉睡账户提醒、三适当等消保风险提示及以案说法；线下，以网点厅堂为主阵地，不定期开展公益“消保知识小课堂”活动，帮助金融消费者增强风险防范意识。二是创设《烟台银行消保服务专刊》季刊。全面展现我行消保服务工作的重要成果和经验，营造消保服务领域积极向上、干事创业、担当作为的良好氛围。三是成功举办“烟诚消保杯”金融消费者权益保护知识竞赛。通过竞赛全面夯实消保相关人员专业技能，促进消费者权益保护风险意识及履职能力整体提升，努力营造“人人讲消保，人人懂消保，人人做消保”的良好氛围。</w:t>
      </w:r>
    </w:p>
    <w:p w14:paraId="7FC9A7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楷体_GB2312" w:hAnsi="楷体_GB2312" w:eastAsia="楷体_GB2312" w:cs="楷体_GB2312"/>
          <w:bCs/>
          <w:color w:val="auto"/>
          <w:kern w:val="0"/>
          <w:sz w:val="32"/>
          <w:szCs w:val="32"/>
          <w:shd w:val="clear"/>
          <w:lang w:val="en-US" w:eastAsia="zh-CN" w:bidi="ar-SA"/>
        </w:rPr>
      </w:pPr>
      <w:r>
        <w:rPr>
          <w:rFonts w:hint="eastAsia" w:ascii="楷体_GB2312" w:hAnsi="楷体_GB2312" w:eastAsia="楷体_GB2312" w:cs="楷体_GB2312"/>
          <w:bCs/>
          <w:color w:val="auto"/>
          <w:kern w:val="0"/>
          <w:sz w:val="32"/>
          <w:szCs w:val="32"/>
          <w:shd w:val="clear"/>
          <w:lang w:val="en-US" w:eastAsia="zh-CN" w:bidi="ar-SA"/>
        </w:rPr>
        <w:t>五、强化溯源治理，严守前端防控</w:t>
      </w:r>
    </w:p>
    <w:p w14:paraId="0F8B5E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仿宋_GB2312" w:hAnsi="仿宋_GB2312" w:eastAsia="仿宋_GB2312" w:cs="仿宋_GB2312"/>
          <w:bCs/>
          <w:color w:val="auto"/>
          <w:kern w:val="0"/>
          <w:sz w:val="32"/>
          <w:szCs w:val="32"/>
          <w:shd w:val="clear"/>
          <w:lang w:val="en-US" w:eastAsia="zh-CN" w:bidi="ar-SA"/>
        </w:rPr>
        <w:t>一是多角度提前开展风险提示。从投诉中提炼众多业务及服务角度的风险隐患，下发8期“消保工作提示”，提醒各单位由点及面、提前预防、抓早抓小，善于将坏事变好事，提高行内纠纷化解率，避免投诉升级。</w:t>
      </w:r>
    </w:p>
    <w:p w14:paraId="26A5D4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仿宋_GB2312" w:hAnsi="仿宋_GB2312" w:eastAsia="仿宋_GB2312" w:cs="仿宋_GB2312"/>
          <w:bCs/>
          <w:color w:val="auto"/>
          <w:kern w:val="0"/>
          <w:sz w:val="32"/>
          <w:szCs w:val="32"/>
          <w:shd w:val="clear"/>
          <w:lang w:val="en-US" w:eastAsia="zh-CN" w:bidi="ar-SA"/>
        </w:rPr>
        <w:t>二是定期分析编制投诉季度分析报告，聚焦投诉热点，制定改进计划。结合阶段性工作重点，不定期下发完善投诉管理工作的各类通知，明确回复消费者的录音等工作要求，确保有据可查、有据可依。</w:t>
      </w:r>
    </w:p>
    <w:p w14:paraId="51D5FB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仿宋_GB2312" w:hAnsi="仿宋_GB2312" w:eastAsia="仿宋_GB2312" w:cs="仿宋_GB2312"/>
          <w:bCs/>
          <w:color w:val="auto"/>
          <w:kern w:val="0"/>
          <w:sz w:val="32"/>
          <w:szCs w:val="32"/>
          <w:shd w:val="clear"/>
          <w:lang w:val="en-US" w:eastAsia="zh-CN" w:bidi="ar-SA"/>
        </w:rPr>
        <w:t>三是落实“横向到边、纵向到底”的共享协调与监督指导机制。按月统计投诉数据、按季分析，定期召开消保服务总结分析会，明确整改提升要求。横向协调联动，组织协调消保骨干、业务能手、法律专家、客户代表等召开工作推进会8场，针对缠诉、疑难纠纷事件共商共解。纵向加大对分支行的指导与管理，扎实推进“一对一”辅导后进单位，引导分支行关注基层人员售前、售中和售后行为管控约束，指导分支行提升消保工作精细化管理水平。</w:t>
      </w:r>
    </w:p>
    <w:p w14:paraId="11B622F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楷体_GB2312" w:hAnsi="楷体_GB2312" w:eastAsia="楷体_GB2312" w:cs="楷体_GB2312"/>
          <w:bCs/>
          <w:color w:val="auto"/>
          <w:kern w:val="0"/>
          <w:sz w:val="32"/>
          <w:szCs w:val="32"/>
          <w:shd w:val="clear"/>
          <w:lang w:val="en-US" w:eastAsia="zh-CN" w:bidi="ar-SA"/>
        </w:rPr>
      </w:pPr>
      <w:r>
        <w:rPr>
          <w:rFonts w:hint="eastAsia" w:ascii="楷体_GB2312" w:hAnsi="楷体_GB2312" w:eastAsia="楷体_GB2312" w:cs="楷体_GB2312"/>
          <w:bCs/>
          <w:color w:val="auto"/>
          <w:kern w:val="0"/>
          <w:sz w:val="32"/>
          <w:szCs w:val="32"/>
          <w:shd w:val="clear"/>
          <w:lang w:val="en-US" w:eastAsia="zh-CN" w:bidi="ar-SA"/>
        </w:rPr>
        <w:t>六、加强队伍建设，提升担当履职本领</w:t>
      </w:r>
    </w:p>
    <w:p w14:paraId="1386D8C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仿宋_GB2312" w:hAnsi="仿宋_GB2312" w:eastAsia="仿宋_GB2312" w:cs="仿宋_GB2312"/>
          <w:bCs/>
          <w:color w:val="auto"/>
          <w:kern w:val="0"/>
          <w:sz w:val="32"/>
          <w:szCs w:val="32"/>
          <w:shd w:val="clear"/>
          <w:lang w:val="en-US" w:eastAsia="zh-CN" w:bidi="ar-SA"/>
        </w:rPr>
        <w:t>一是开辟线上消费者权益保护案例专栏。按月推送消保纠纷热点、难点、痛点案例，2024年累计发布《未经消费者授权同意擅自办理业务纠纷案》、《银行擅自冻结客户个人存款引发投诉案》等32期，共64个消保纠纷案例，为基层和总行条线精准培训、及时事前预防提供丰富的针对性学习素材。</w:t>
      </w:r>
    </w:p>
    <w:p w14:paraId="56EBA1B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仿宋_GB2312" w:hAnsi="仿宋_GB2312" w:eastAsia="仿宋_GB2312" w:cs="仿宋_GB2312"/>
          <w:bCs/>
          <w:color w:val="auto"/>
          <w:kern w:val="0"/>
          <w:sz w:val="32"/>
          <w:szCs w:val="32"/>
          <w:shd w:val="clear"/>
          <w:lang w:val="en-US" w:eastAsia="zh-CN" w:bidi="ar-SA"/>
        </w:rPr>
        <w:t>二是扎实开展能力培训。结合行内实际需要，精心选择“瀚海扬帆 消保护航”消保工作人员履职培训、销售适当性及可回溯管理消保培训、客户投诉处理技巧等专业化课程供总行业务部门、分支行消保服务人员、理财经理、客户经理群体学习，降低消保业务领域差错、减少矛盾纠纷，参训人群达320余人次，稳步提升员工的业务能力和消保意识。</w:t>
      </w:r>
    </w:p>
    <w:p w14:paraId="3840F6A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楷体_GB2312" w:hAnsi="楷体_GB2312" w:eastAsia="楷体_GB2312" w:cs="楷体_GB2312"/>
          <w:bCs/>
          <w:color w:val="auto"/>
          <w:kern w:val="0"/>
          <w:sz w:val="32"/>
          <w:szCs w:val="32"/>
          <w:shd w:val="clear"/>
          <w:lang w:val="en-US" w:eastAsia="zh-CN" w:bidi="ar-SA"/>
        </w:rPr>
      </w:pPr>
      <w:r>
        <w:rPr>
          <w:rFonts w:hint="eastAsia" w:ascii="楷体_GB2312" w:hAnsi="楷体_GB2312" w:eastAsia="楷体_GB2312" w:cs="楷体_GB2312"/>
          <w:bCs/>
          <w:color w:val="auto"/>
          <w:kern w:val="0"/>
          <w:sz w:val="32"/>
          <w:szCs w:val="32"/>
          <w:shd w:val="clear"/>
          <w:lang w:val="en-US" w:eastAsia="zh-CN" w:bidi="ar-SA"/>
        </w:rPr>
        <w:t>七、持续开展金融知识教育宣传，履行社会责任</w:t>
      </w:r>
    </w:p>
    <w:p w14:paraId="1542D4B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1"/>
        <w:rPr>
          <w:rFonts w:hint="eastAsia" w:ascii="仿宋_GB2312" w:hAnsi="仿宋_GB2312" w:eastAsia="仿宋_GB2312" w:cs="仿宋_GB2312"/>
          <w:bCs/>
          <w:color w:val="auto"/>
          <w:kern w:val="0"/>
          <w:sz w:val="32"/>
          <w:szCs w:val="32"/>
          <w:shd w:val="clear"/>
          <w:lang w:val="en-US" w:eastAsia="zh-CN" w:bidi="ar-SA"/>
        </w:rPr>
      </w:pPr>
      <w:r>
        <w:rPr>
          <w:rFonts w:hint="eastAsia" w:ascii="仿宋_GB2312" w:hAnsi="仿宋_GB2312" w:eastAsia="仿宋_GB2312" w:cs="仿宋_GB2312"/>
          <w:bCs/>
          <w:color w:val="auto"/>
          <w:kern w:val="0"/>
          <w:sz w:val="32"/>
          <w:szCs w:val="32"/>
          <w:shd w:val="clear"/>
          <w:lang w:val="en-US" w:eastAsia="zh-CN" w:bidi="ar-SA"/>
        </w:rPr>
        <w:t>建立金融知识宣传长效机制，组建金融知识宣教志愿队，持续组织开展银行业“315消费者权益保护日金融知识宣传”、金融消费者权益保护教育宣传月、征信宣传、防范非法集资、反洗钱、防范电信诈骗等系列金融知识宣传教育活动，不断扩展金融知识宣传教育渠道和覆盖面，宣教活动累计触达金融消费者近20万人，通过持续、扎实的宣传教育工作，消除了公众对金融服务的误解和恐惧，增强了广大市民对金融机构的信任，提升了公众的金融素养和风险防范能力，对构建和谐的金融环境贡献了烟行力量。</w:t>
      </w:r>
    </w:p>
    <w:p w14:paraId="598E08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outlineLvl w:val="0"/>
        <w:rPr>
          <w:rFonts w:hint="eastAsia" w:ascii="黑体" w:hAnsi="黑体" w:eastAsia="黑体" w:cs="黑体"/>
          <w:bCs/>
          <w:color w:val="auto"/>
          <w:sz w:val="32"/>
          <w:szCs w:val="32"/>
          <w:highlight w:val="yellow"/>
          <w:lang w:val="en-US" w:eastAsia="zh-CN"/>
        </w:rPr>
      </w:pPr>
      <w:bookmarkStart w:id="35" w:name="_Toc8143"/>
      <w:bookmarkStart w:id="36" w:name="_Toc4364"/>
      <w:r>
        <w:rPr>
          <w:rFonts w:hint="eastAsia" w:ascii="黑体" w:hAnsi="黑体" w:eastAsia="黑体" w:cs="黑体"/>
          <w:bCs/>
          <w:color w:val="auto"/>
          <w:sz w:val="32"/>
          <w:szCs w:val="32"/>
          <w:highlight w:val="none"/>
          <w:lang w:val="en-US" w:eastAsia="zh-CN"/>
        </w:rPr>
        <w:t>九、</w:t>
      </w:r>
      <w:bookmarkEnd w:id="35"/>
      <w:bookmarkEnd w:id="36"/>
      <w:r>
        <w:rPr>
          <w:rFonts w:hint="eastAsia" w:ascii="黑体" w:hAnsi="黑体" w:eastAsia="黑体" w:cs="黑体"/>
          <w:bCs/>
          <w:color w:val="auto"/>
          <w:sz w:val="32"/>
          <w:szCs w:val="32"/>
          <w:highlight w:val="none"/>
          <w:lang w:val="en-US" w:eastAsia="zh-CN"/>
        </w:rPr>
        <w:t>践行公益理念 关注员工成长</w:t>
      </w:r>
    </w:p>
    <w:p w14:paraId="35B622A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1" w:firstLineChars="200"/>
        <w:textAlignment w:val="auto"/>
        <w:outlineLvl w:val="1"/>
        <w:rPr>
          <w:rFonts w:hint="eastAsia" w:ascii="楷体_GB2312" w:hAnsi="楷体_GB2312" w:eastAsia="楷体_GB2312" w:cs="楷体_GB2312"/>
          <w:b/>
          <w:bCs/>
          <w:color w:val="auto"/>
          <w:sz w:val="32"/>
          <w:szCs w:val="32"/>
          <w:lang w:val="en-US" w:eastAsia="zh-CN"/>
        </w:rPr>
      </w:pPr>
      <w:bookmarkStart w:id="37" w:name="_Toc24798"/>
      <w:bookmarkStart w:id="38" w:name="_Toc21613"/>
      <w:r>
        <w:rPr>
          <w:rFonts w:hint="eastAsia" w:ascii="楷体_GB2312" w:hAnsi="楷体_GB2312" w:eastAsia="楷体_GB2312" w:cs="楷体_GB2312"/>
          <w:b/>
          <w:bCs/>
          <w:color w:val="auto"/>
          <w:sz w:val="32"/>
          <w:szCs w:val="32"/>
          <w:lang w:val="en-US" w:eastAsia="zh-CN"/>
        </w:rPr>
        <w:t>（一）</w:t>
      </w:r>
      <w:bookmarkEnd w:id="37"/>
      <w:bookmarkEnd w:id="38"/>
      <w:r>
        <w:rPr>
          <w:rFonts w:hint="eastAsia" w:ascii="楷体_GB2312" w:hAnsi="楷体_GB2312" w:eastAsia="楷体_GB2312" w:cs="楷体_GB2312"/>
          <w:b/>
          <w:bCs/>
          <w:color w:val="auto"/>
          <w:sz w:val="32"/>
          <w:szCs w:val="32"/>
          <w:lang w:val="en-US" w:eastAsia="zh-CN"/>
        </w:rPr>
        <w:t>助力社会公益项目</w:t>
      </w:r>
    </w:p>
    <w:p w14:paraId="56F5CA2B">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7" w:firstLineChars="0"/>
        <w:jc w:val="both"/>
        <w:textAlignment w:val="auto"/>
        <w:outlineLvl w:val="9"/>
        <w:rPr>
          <w:rFonts w:hint="eastAsia" w:ascii="仿宋_GB2312" w:hAnsi="仿宋_GB2312" w:eastAsia="仿宋_GB2312" w:cs="仿宋_GB2312"/>
          <w:b w:val="0"/>
          <w:bCs/>
          <w:color w:val="auto"/>
          <w:kern w:val="0"/>
          <w:sz w:val="32"/>
          <w:szCs w:val="32"/>
          <w:lang w:val="en-US" w:eastAsia="zh-CN" w:bidi="ar-SA"/>
        </w:rPr>
      </w:pPr>
      <w:bookmarkStart w:id="39" w:name="_Toc13382"/>
      <w:r>
        <w:rPr>
          <w:rFonts w:hint="eastAsia" w:ascii="仿宋_GB2312" w:hAnsi="仿宋_GB2312" w:eastAsia="仿宋_GB2312" w:cs="仿宋_GB2312"/>
          <w:b w:val="0"/>
          <w:bCs/>
          <w:color w:val="auto"/>
          <w:kern w:val="0"/>
          <w:sz w:val="32"/>
          <w:szCs w:val="32"/>
          <w:lang w:val="en-US" w:eastAsia="zh-CN" w:bidi="ar-SA"/>
        </w:rPr>
        <w:t>2024年，烟台银行积极践行社会责任，持续开展慈善募捐、走访慰问等公益活动，以良好的公德心、责任感和使命感，热情回馈社会。一是组织开展全行爱心捐助活动，累计捐款21.181万元；二是携手烟台市红十字会共同设立了“博爱烟台 助学圆梦”项目，为60名困难大学生提供精准资助，助力他们顺利完成学业；三是支持乡村振兴，捐助10万元用于烟台市莱山区院格庄街道崖前村实施道路硬化修缮项目，切实改善村内基础设施、优化公共服务，方便居民出行，为村民办实事解难题；四是在中秋、春节期间走访慰问社区困难党员群众，为其送上生活物资和节日祝福。</w:t>
      </w:r>
    </w:p>
    <w:p w14:paraId="73E42EDC">
      <w:pPr>
        <w:pStyle w:val="6"/>
        <w:keepNext w:val="0"/>
        <w:keepLines w:val="0"/>
        <w:pageBreakBefore w:val="0"/>
        <w:widowControl w:val="0"/>
        <w:numPr>
          <w:ilvl w:val="-1"/>
          <w:numId w:val="0"/>
        </w:numPr>
        <w:kinsoku/>
        <w:wordWrap/>
        <w:overflowPunct/>
        <w:topLinePunct w:val="0"/>
        <w:autoSpaceDE/>
        <w:autoSpaceDN/>
        <w:bidi w:val="0"/>
        <w:adjustRightInd/>
        <w:snapToGrid/>
        <w:spacing w:after="0" w:line="560" w:lineRule="exact"/>
        <w:ind w:left="0" w:leftChars="0" w:right="0" w:rightChars="0" w:firstLine="641" w:firstLineChars="200"/>
        <w:jc w:val="both"/>
        <w:textAlignment w:val="auto"/>
        <w:outlineLvl w:val="9"/>
      </w:pPr>
      <w:r>
        <w:rPr>
          <w:rFonts w:hint="eastAsia" w:ascii="楷体_GB2312" w:hAnsi="楷体_GB2312" w:eastAsia="楷体_GB2312" w:cs="楷体_GB2312"/>
          <w:b/>
          <w:bCs/>
          <w:color w:val="auto"/>
          <w:sz w:val="32"/>
          <w:szCs w:val="32"/>
          <w:highlight w:val="none"/>
          <w:lang w:val="en-US" w:eastAsia="zh-CN"/>
        </w:rPr>
        <w:t>（二）</w:t>
      </w:r>
      <w:bookmarkEnd w:id="39"/>
      <w:r>
        <w:rPr>
          <w:rFonts w:hint="eastAsia" w:ascii="楷体_GB2312" w:hAnsi="楷体_GB2312" w:eastAsia="楷体_GB2312" w:cs="楷体_GB2312"/>
          <w:b/>
          <w:bCs/>
          <w:color w:val="auto"/>
          <w:sz w:val="32"/>
          <w:szCs w:val="32"/>
          <w:lang w:val="en-US" w:eastAsia="zh-CN"/>
        </w:rPr>
        <w:t>组织员工志愿活动</w:t>
      </w:r>
    </w:p>
    <w:p w14:paraId="44D045A3">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7" w:firstLineChars="0"/>
        <w:jc w:val="both"/>
        <w:textAlignment w:val="auto"/>
        <w:outlineLvl w:val="9"/>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是在全行范围内组织开展“春风送暖，烟行传情”学雷锋志愿服务活动，组织青年志愿队深入社区、沿街商户、敬老院等地，开展了义务卫生清扫、金融知识普及等学雷锋志愿服务系列活动，用实际行动践行雷锋精神；二是组织开展无偿献血活动，无偿献血人次9人，累计献血3400ml，进一步发扬奉献、友爱、互助的精神，支持社会公益事业，用爱心之举传递社会正能量；三是引导党员通过“双报到”等形式，积极参与金融知识宣讲、敬老助老、文明交通等志愿服务，为文明城市创建增添金融力量。</w:t>
      </w:r>
    </w:p>
    <w:p w14:paraId="58022C98">
      <w:pPr>
        <w:pStyle w:val="6"/>
        <w:numPr>
          <w:ilvl w:val="0"/>
          <w:numId w:val="3"/>
        </w:numPr>
        <w:adjustRightInd/>
        <w:snapToGrid/>
        <w:spacing w:line="560" w:lineRule="exact"/>
        <w:ind w:left="0" w:leftChars="0" w:firstLine="641" w:firstLineChars="200"/>
        <w:outlineLvl w:val="9"/>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关注员工成长</w:t>
      </w:r>
    </w:p>
    <w:p w14:paraId="5AC46F24">
      <w:pPr>
        <w:adjustRightInd w:val="0"/>
        <w:snapToGrid w:val="0"/>
        <w:spacing w:line="560" w:lineRule="exact"/>
        <w:ind w:firstLine="640" w:firstLineChars="200"/>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一、倾听员工声音，关注员工关怀</w:t>
      </w:r>
    </w:p>
    <w:p w14:paraId="3F9B8309">
      <w:pPr>
        <w:adjustRightInd w:val="0"/>
        <w:snapToGrid w:val="0"/>
        <w:spacing w:line="560" w:lineRule="exact"/>
        <w:ind w:firstLine="640" w:firstLineChars="200"/>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一是聚力全过程人民民主，2024年内组织召开2次职工代表大会，听取职工监事述职报告，选举第八届监事会职工监事人选，审议4项与职工切身利益相关的议题，增强职工的“主人翁”意识和民主意识。二是持续做好职工关爱工作，2024年对7名困难职工进行慰问帮扶，做好员工体检、节日及生日等慰问工作，启动员工入职、新婚、生育“三大仪式”工作，提升员工幸福感、获得感，打造具有强大凝聚力、“有温度”的银行。三是组织开展全行户外健身、运动友谊赛、青年联谊、营销案例比赛等活动，组织参加市人行羽毛球比赛获冠军，参加芝罘区乒乓球、羽毛球比赛分获亚军、殿军，参加全市职工工间操大赛获二等奖。</w:t>
      </w:r>
    </w:p>
    <w:p w14:paraId="7B35B9E1">
      <w:pPr>
        <w:adjustRightInd w:val="0"/>
        <w:snapToGrid w:val="0"/>
        <w:spacing w:line="560" w:lineRule="exact"/>
        <w:ind w:firstLine="640" w:firstLineChars="200"/>
        <w:rPr>
          <w:rFonts w:hint="eastAsia" w:ascii="仿宋_GB2312" w:hAnsi="仿宋_GB2312" w:eastAsia="仿宋_GB2312" w:cs="仿宋_GB2312"/>
          <w:bCs/>
          <w:color w:val="auto"/>
          <w:kern w:val="0"/>
          <w:sz w:val="32"/>
          <w:szCs w:val="32"/>
          <w:lang w:val="en-US" w:eastAsia="zh-CN"/>
        </w:rPr>
      </w:pPr>
      <w:r>
        <w:rPr>
          <w:rFonts w:hint="eastAsia" w:ascii="仿宋_GB2312" w:hAnsi="仿宋_GB2312" w:eastAsia="仿宋_GB2312" w:cs="仿宋_GB2312"/>
          <w:bCs/>
          <w:color w:val="auto"/>
          <w:kern w:val="0"/>
          <w:sz w:val="32"/>
          <w:szCs w:val="32"/>
          <w:lang w:val="en-US" w:eastAsia="zh-CN"/>
        </w:rPr>
        <w:t>二、拓宽员工激励及晋升机制</w:t>
      </w:r>
    </w:p>
    <w:p w14:paraId="72050B23">
      <w:pPr>
        <w:pStyle w:val="3"/>
        <w:numPr>
          <w:ilvl w:val="-1"/>
          <w:numId w:val="0"/>
        </w:numPr>
        <w:spacing w:line="560" w:lineRule="exact"/>
        <w:ind w:firstLine="640" w:firstLineChars="200"/>
        <w:rPr>
          <w:rFonts w:hint="default" w:ascii="Arial" w:hAnsi="Arial" w:eastAsiaTheme="minorEastAsia" w:cstheme="minorBidi"/>
          <w:b w:val="0"/>
          <w:bCs w:val="0"/>
          <w:sz w:val="21"/>
          <w:szCs w:val="24"/>
        </w:rPr>
      </w:pPr>
      <w:r>
        <w:rPr>
          <w:rFonts w:hint="eastAsia" w:ascii="仿宋_GB2312" w:hAnsi="仿宋_GB2312" w:eastAsia="仿宋_GB2312" w:cs="仿宋_GB2312"/>
          <w:bCs/>
          <w:color w:val="auto"/>
          <w:kern w:val="0"/>
          <w:sz w:val="32"/>
          <w:szCs w:val="32"/>
          <w:lang w:val="en-US" w:eastAsia="zh-CN"/>
        </w:rPr>
        <w:t>一是建立以岗位价值为核心的各专业序列职级体系，进一步拓宽员工晋升通道，设置管理序列与专业序列双通道，为优秀人才提供晋升机会，激发人才的工作积极性和创造力；二是构建分层培训生态系统，强化专业赋能。为不同类别员工匹配差异化的培训手段，多措并举加快推动员工成长，不断提升员工的综合素质，使其能够更好地适应岗位需求；三是建立健全人才激励机制。完善薪酬福利体系，建立以业绩为导向的薪酬分配机制，充分体现人才的价值，持续推进薪酬体系改革落地实施，将薪酬分配与绩效考核有机结合，推动资源配置向基层一线倾斜，充分发挥薪酬激励的导向作用，进一步激发干部员工发展潜力和干事创业激情。</w:t>
      </w:r>
    </w:p>
    <w:p w14:paraId="1ECE9859">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567" w:firstLineChars="0"/>
        <w:jc w:val="both"/>
        <w:textAlignment w:val="auto"/>
        <w:outlineLvl w:val="9"/>
        <w:rPr>
          <w:rFonts w:hint="eastAsia" w:ascii="仿宋_GB2312" w:hAnsi="仿宋_GB2312" w:eastAsia="仿宋_GB2312" w:cs="仿宋_GB2312"/>
          <w:bCs/>
          <w:color w:val="auto"/>
          <w:kern w:val="0"/>
          <w:sz w:val="32"/>
          <w:szCs w:val="32"/>
        </w:rPr>
      </w:pPr>
    </w:p>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汉仪书宋二KW">
    <w:panose1 w:val="00020600040101010101"/>
    <w:charset w:val="86"/>
    <w:family w:val="auto"/>
    <w:pitch w:val="default"/>
    <w:sig w:usb0="A00002BF" w:usb1="18EF7CFA" w:usb2="00000016" w:usb3="00000000" w:csb0="00040000" w:csb1="00000000"/>
  </w:font>
  <w:font w:name="Wingdings">
    <w:altName w:val="Kingsoft Confetti"/>
    <w:panose1 w:val="05000000000000000000"/>
    <w:charset w:val="02"/>
    <w:family w:val="auto"/>
    <w:pitch w:val="default"/>
    <w:sig w:usb0="00000000" w:usb1="00000000" w:usb2="00000000" w:usb3="00000000" w:csb0="80000000" w:csb1="00000000"/>
  </w:font>
  <w:font w:name="Kingsoft Confetti">
    <w:panose1 w:val="05000100010000000000"/>
    <w:charset w:val="00"/>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汉仪仿宋KW"/>
    <w:panose1 w:val="02010609030101010101"/>
    <w:charset w:val="86"/>
    <w:family w:val="swiss"/>
    <w:pitch w:val="default"/>
    <w:sig w:usb0="00000000" w:usb1="00000000" w:usb2="00000000" w:usb3="00000000" w:csb0="00040000" w:csb1="00000000"/>
  </w:font>
  <w:font w:name="汉仪仿宋KW">
    <w:panose1 w:val="00020600040101010101"/>
    <w:charset w:val="86"/>
    <w:family w:val="auto"/>
    <w:pitch w:val="default"/>
    <w:sig w:usb0="A00002BF" w:usb1="18EF7CFA" w:usb2="00000016" w:usb3="00000000" w:csb0="00040000" w:csb1="00000000"/>
  </w:font>
  <w:font w:name="楷体_GB2312">
    <w:altName w:val="汉仪楷体KW"/>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4A4E0">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9BC01">
                          <w:pPr>
                            <w:snapToGrid w:val="0"/>
                            <w:rPr>
                              <w:rFonts w:hint="eastAsia" w:ascii="宋体" w:hAnsi="宋体" w:eastAsia="宋体" w:cs="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D59BC01">
                    <w:pPr>
                      <w:snapToGrid w:val="0"/>
                      <w:rPr>
                        <w:rFonts w:hint="eastAsia" w:ascii="宋体" w:hAnsi="宋体" w:eastAsia="宋体" w:cs="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p w14:paraId="2FE99CFB">
    <w:pPr>
      <w:pStyle w:val="4"/>
      <w:rPr>
        <w:rFonts w:hint="eastAsia" w:ascii="宋体" w:hAnsi="宋体" w:eastAsia="宋体" w:cs="宋体"/>
        <w:sz w:val="28"/>
        <w:szCs w:val="28"/>
      </w:rPr>
    </w:pPr>
  </w:p>
  <w:p w14:paraId="46FD5AA0">
    <w:pPr>
      <w:pStyle w:val="4"/>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557F">
    <w:pPr>
      <w:pStyle w:val="4"/>
      <w:rPr>
        <w:rFonts w:hint="eastAsia" w:ascii="宋体" w:hAnsi="宋体" w:eastAsia="宋体" w:cs="宋体"/>
        <w:sz w:val="28"/>
        <w:szCs w:val="28"/>
      </w:rPr>
    </w:pPr>
  </w:p>
  <w:p w14:paraId="104BD77F">
    <w:pPr>
      <w:pStyle w:val="4"/>
      <w:rPr>
        <w:rFonts w:hint="eastAsia" w:ascii="宋体" w:hAnsi="宋体" w:eastAsia="宋体" w:cs="宋体"/>
        <w:sz w:val="28"/>
        <w:szCs w:val="28"/>
      </w:rPr>
    </w:pPr>
  </w:p>
  <w:p w14:paraId="1372BCC8">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7068B9">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7068B9">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607D">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A757">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A72E1"/>
    <w:multiLevelType w:val="singleLevel"/>
    <w:tmpl w:val="EFFA72E1"/>
    <w:lvl w:ilvl="0" w:tentative="0">
      <w:start w:val="2"/>
      <w:numFmt w:val="chineseCounting"/>
      <w:suff w:val="nothing"/>
      <w:lvlText w:val="（%1）"/>
      <w:lvlJc w:val="left"/>
      <w:rPr>
        <w:rFonts w:hint="eastAsia"/>
      </w:rPr>
    </w:lvl>
  </w:abstractNum>
  <w:abstractNum w:abstractNumId="1">
    <w:nsid w:val="1672075F"/>
    <w:multiLevelType w:val="singleLevel"/>
    <w:tmpl w:val="1672075F"/>
    <w:lvl w:ilvl="0" w:tentative="0">
      <w:start w:val="3"/>
      <w:numFmt w:val="chineseCounting"/>
      <w:suff w:val="nothing"/>
      <w:lvlText w:val="（%1）"/>
      <w:lvlJc w:val="left"/>
      <w:rPr>
        <w:rFonts w:hint="eastAsia"/>
      </w:rPr>
    </w:lvl>
  </w:abstractNum>
  <w:abstractNum w:abstractNumId="2">
    <w:nsid w:val="25205C92"/>
    <w:multiLevelType w:val="singleLevel"/>
    <w:tmpl w:val="25205C9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2YzQ4YTJiZWI1YTI1ZDg4MGFmNDYzMzhmMDRkNzMifQ=="/>
  </w:docVars>
  <w:rsids>
    <w:rsidRoot w:val="00172A27"/>
    <w:rsid w:val="00B82832"/>
    <w:rsid w:val="012023DB"/>
    <w:rsid w:val="04B406A2"/>
    <w:rsid w:val="04F062E0"/>
    <w:rsid w:val="0506687F"/>
    <w:rsid w:val="07316F67"/>
    <w:rsid w:val="073A0B3B"/>
    <w:rsid w:val="07871379"/>
    <w:rsid w:val="07B36D75"/>
    <w:rsid w:val="07F034D4"/>
    <w:rsid w:val="081535B5"/>
    <w:rsid w:val="08BA26B4"/>
    <w:rsid w:val="08C14EFC"/>
    <w:rsid w:val="09974487"/>
    <w:rsid w:val="09F368C4"/>
    <w:rsid w:val="0B512590"/>
    <w:rsid w:val="0B7124A3"/>
    <w:rsid w:val="0DC27868"/>
    <w:rsid w:val="0E245572"/>
    <w:rsid w:val="0ECE4940"/>
    <w:rsid w:val="1008331A"/>
    <w:rsid w:val="11497CF7"/>
    <w:rsid w:val="11B276ED"/>
    <w:rsid w:val="120602B8"/>
    <w:rsid w:val="12722DDA"/>
    <w:rsid w:val="13002AE5"/>
    <w:rsid w:val="13051313"/>
    <w:rsid w:val="13BB0206"/>
    <w:rsid w:val="13EC0593"/>
    <w:rsid w:val="143F2918"/>
    <w:rsid w:val="154B1843"/>
    <w:rsid w:val="16DC6EA6"/>
    <w:rsid w:val="16E2450C"/>
    <w:rsid w:val="17046BDB"/>
    <w:rsid w:val="18116C45"/>
    <w:rsid w:val="191E679A"/>
    <w:rsid w:val="1A5A24E5"/>
    <w:rsid w:val="1BF96E99"/>
    <w:rsid w:val="1EA73C4A"/>
    <w:rsid w:val="1EDB28DF"/>
    <w:rsid w:val="1EFE31F6"/>
    <w:rsid w:val="1F3647FF"/>
    <w:rsid w:val="1FB6358E"/>
    <w:rsid w:val="1FC80BD3"/>
    <w:rsid w:val="21562C93"/>
    <w:rsid w:val="22384C65"/>
    <w:rsid w:val="224D4FDE"/>
    <w:rsid w:val="22903E34"/>
    <w:rsid w:val="22C16224"/>
    <w:rsid w:val="22DB57E5"/>
    <w:rsid w:val="231853AA"/>
    <w:rsid w:val="24F46CFF"/>
    <w:rsid w:val="253103BB"/>
    <w:rsid w:val="262343AF"/>
    <w:rsid w:val="28970979"/>
    <w:rsid w:val="289B2BB1"/>
    <w:rsid w:val="295E2FBA"/>
    <w:rsid w:val="2A2F5A23"/>
    <w:rsid w:val="2A3E0E2C"/>
    <w:rsid w:val="2BF531F2"/>
    <w:rsid w:val="2CA055DF"/>
    <w:rsid w:val="2CAD790E"/>
    <w:rsid w:val="2D6733F8"/>
    <w:rsid w:val="2DB954B9"/>
    <w:rsid w:val="2DF027D2"/>
    <w:rsid w:val="2E792C85"/>
    <w:rsid w:val="2F202A79"/>
    <w:rsid w:val="302D1FB0"/>
    <w:rsid w:val="31350E37"/>
    <w:rsid w:val="35CA1BE3"/>
    <w:rsid w:val="368422FA"/>
    <w:rsid w:val="37D4043C"/>
    <w:rsid w:val="398515D5"/>
    <w:rsid w:val="39BE38EB"/>
    <w:rsid w:val="39D54A44"/>
    <w:rsid w:val="39EB5F97"/>
    <w:rsid w:val="3BDE7677"/>
    <w:rsid w:val="3C9E5C83"/>
    <w:rsid w:val="3D9D29CC"/>
    <w:rsid w:val="3E5A0E8B"/>
    <w:rsid w:val="3FFB5A12"/>
    <w:rsid w:val="40050E0F"/>
    <w:rsid w:val="41F97823"/>
    <w:rsid w:val="4270171E"/>
    <w:rsid w:val="431D7F48"/>
    <w:rsid w:val="43FE47E4"/>
    <w:rsid w:val="44340C03"/>
    <w:rsid w:val="45C86CE7"/>
    <w:rsid w:val="45DD2319"/>
    <w:rsid w:val="467076DB"/>
    <w:rsid w:val="47156E0A"/>
    <w:rsid w:val="47CD0E1A"/>
    <w:rsid w:val="484803D3"/>
    <w:rsid w:val="49B36BF3"/>
    <w:rsid w:val="49CF5782"/>
    <w:rsid w:val="4B3324E9"/>
    <w:rsid w:val="4B4614FC"/>
    <w:rsid w:val="4B8C4BD1"/>
    <w:rsid w:val="4C2F2671"/>
    <w:rsid w:val="4C564309"/>
    <w:rsid w:val="4CA758F3"/>
    <w:rsid w:val="4EC4726F"/>
    <w:rsid w:val="507C3866"/>
    <w:rsid w:val="50AF34AC"/>
    <w:rsid w:val="52165065"/>
    <w:rsid w:val="54127D60"/>
    <w:rsid w:val="55AF13B7"/>
    <w:rsid w:val="561855B7"/>
    <w:rsid w:val="56877E03"/>
    <w:rsid w:val="56AA5C92"/>
    <w:rsid w:val="574B7B20"/>
    <w:rsid w:val="57647FBC"/>
    <w:rsid w:val="58E4391D"/>
    <w:rsid w:val="59D86D36"/>
    <w:rsid w:val="59E31114"/>
    <w:rsid w:val="5A355ACC"/>
    <w:rsid w:val="5B6D61B6"/>
    <w:rsid w:val="5BF7BF45"/>
    <w:rsid w:val="5FB20E77"/>
    <w:rsid w:val="62696EED"/>
    <w:rsid w:val="635A416C"/>
    <w:rsid w:val="65E65A81"/>
    <w:rsid w:val="67335ACB"/>
    <w:rsid w:val="678F61EF"/>
    <w:rsid w:val="68170C51"/>
    <w:rsid w:val="683E3E9E"/>
    <w:rsid w:val="6A6A70CE"/>
    <w:rsid w:val="6AD77965"/>
    <w:rsid w:val="6B697ECD"/>
    <w:rsid w:val="6D807492"/>
    <w:rsid w:val="6DC25D7C"/>
    <w:rsid w:val="6E770A76"/>
    <w:rsid w:val="6EF5C7F8"/>
    <w:rsid w:val="6FED5093"/>
    <w:rsid w:val="6FFF0246"/>
    <w:rsid w:val="70E668BC"/>
    <w:rsid w:val="71353607"/>
    <w:rsid w:val="728469FC"/>
    <w:rsid w:val="730227BA"/>
    <w:rsid w:val="730C7D4D"/>
    <w:rsid w:val="73505624"/>
    <w:rsid w:val="73824F58"/>
    <w:rsid w:val="753F21BB"/>
    <w:rsid w:val="75596555"/>
    <w:rsid w:val="76E3733F"/>
    <w:rsid w:val="76F56E2A"/>
    <w:rsid w:val="773791F3"/>
    <w:rsid w:val="775D2988"/>
    <w:rsid w:val="77C70062"/>
    <w:rsid w:val="78014538"/>
    <w:rsid w:val="784C0FD3"/>
    <w:rsid w:val="795542CD"/>
    <w:rsid w:val="7A5C0EC7"/>
    <w:rsid w:val="7BA903EA"/>
    <w:rsid w:val="7BFA7166"/>
    <w:rsid w:val="7C046D2F"/>
    <w:rsid w:val="7CDEA6F2"/>
    <w:rsid w:val="7D3607E6"/>
    <w:rsid w:val="7D91405C"/>
    <w:rsid w:val="7F5FAFC6"/>
    <w:rsid w:val="7FFB4C59"/>
    <w:rsid w:val="7FFF78DC"/>
    <w:rsid w:val="B8F7B326"/>
    <w:rsid w:val="DFFFDEA3"/>
    <w:rsid w:val="E7D346C7"/>
    <w:rsid w:val="EEDFBD43"/>
    <w:rsid w:val="F9FE6D92"/>
    <w:rsid w:val="FEEF66E2"/>
    <w:rsid w:val="FF6FF66D"/>
    <w:rsid w:val="FFDDB267"/>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0"/>
    <w:pPr>
      <w:widowControl w:val="0"/>
      <w:autoSpaceDE w:val="0"/>
      <w:autoSpaceDN w:val="0"/>
      <w:adjustRightInd w:val="0"/>
    </w:pPr>
    <w:rPr>
      <w:rFonts w:ascii="Arial" w:hAnsi="Arial"/>
      <w:kern w:val="2"/>
      <w:lang w:eastAsia="zh-CN"/>
    </w:rPr>
  </w:style>
  <w:style w:type="paragraph" w:styleId="4">
    <w:name w:val="footer"/>
    <w:basedOn w:val="1"/>
    <w:next w:val="1"/>
    <w:qFormat/>
    <w:uiPriority w:val="0"/>
    <w:pPr>
      <w:tabs>
        <w:tab w:val="center" w:pos="4153"/>
        <w:tab w:val="right" w:pos="8306"/>
      </w:tabs>
      <w:snapToGrid w:val="0"/>
      <w:jc w:val="left"/>
    </w:pPr>
    <w:rPr>
      <w:sz w:val="18"/>
      <w:szCs w:val="18"/>
    </w:rPr>
  </w:style>
  <w:style w:type="paragraph" w:styleId="5">
    <w:name w:val="Body Text Indent"/>
    <w:basedOn w:val="1"/>
    <w:next w:val="6"/>
    <w:qFormat/>
    <w:uiPriority w:val="0"/>
    <w:pPr>
      <w:spacing w:after="120"/>
      <w:ind w:left="420" w:leftChars="200"/>
    </w:pPr>
  </w:style>
  <w:style w:type="paragraph" w:styleId="6">
    <w:name w:val="Body Text First Indent 2"/>
    <w:basedOn w:val="5"/>
    <w:next w:val="3"/>
    <w:qFormat/>
    <w:uiPriority w:val="0"/>
    <w:pPr>
      <w:ind w:firstLine="420" w:firstLineChars="200"/>
    </w:p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9"/>
    <w:basedOn w:val="1"/>
    <w:next w:val="1"/>
    <w:qFormat/>
    <w:uiPriority w:val="0"/>
    <w:pPr>
      <w:ind w:left="3360" w:leftChars="1600"/>
    </w:pPr>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列表段落1"/>
    <w:basedOn w:val="1"/>
    <w:qFormat/>
    <w:uiPriority w:val="34"/>
    <w:pPr>
      <w:spacing w:line="360" w:lineRule="auto"/>
      <w:ind w:firstLine="480" w:firstLineChars="200"/>
    </w:pPr>
    <w:rPr>
      <w:rFonts w:ascii="楷体" w:hAnsi="楷体" w:eastAsia="楷体" w:cs="Times New Roman"/>
      <w:sz w:val="24"/>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16314</Words>
  <Characters>16621</Characters>
  <Lines>0</Lines>
  <Paragraphs>0</Paragraphs>
  <TotalTime>5</TotalTime>
  <ScaleCrop>false</ScaleCrop>
  <LinksUpToDate>false</LinksUpToDate>
  <CharactersWithSpaces>16689</CharactersWithSpaces>
  <Application>WPS Office WWO_wpscloud_20250224104646-d85e36bc1d</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2023-09-07T17:41:00Z</dcterms:created>
  <dc:creator>陈思宇</dc:creator>
  <cp:lastModifiedBy>Administrator</cp:lastModifiedBy>
  <cp:lastPrinted>2024-12-26T16:03:00Z</cp:lastPrinted>
  <dcterms:modified xsi:type="dcterms:W3CDTF">2026-02-02T11:14:48Z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FB6C84A322535A9AA816806936AC683B_43</vt:lpwstr>
  </property>
</Properties>
</file>