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widowControl/>
        <w:jc w:val="center"/>
        <w:rPr>
          <w:rStyle w:val="6"/>
          <w:rFonts w:hint="eastAsia"/>
          <w:sz w:val="32"/>
          <w:szCs w:val="32"/>
        </w:rPr>
      </w:pPr>
      <w:r>
        <w:rPr>
          <w:rStyle w:val="6"/>
          <w:rFonts w:hint="eastAsia"/>
          <w:sz w:val="32"/>
          <w:szCs w:val="32"/>
        </w:rPr>
        <w:t>烟台银行理财业务202</w:t>
      </w:r>
      <w:r>
        <w:rPr>
          <w:rStyle w:val="6"/>
          <w:rFonts w:hint="eastAsia"/>
          <w:b/>
          <w:bCs w:val="0"/>
          <w:sz w:val="32"/>
          <w:szCs w:val="32"/>
          <w:lang w:val="en-US" w:eastAsia="zh-CN"/>
        </w:rPr>
        <w:t>2</w:t>
      </w:r>
      <w:r>
        <w:rPr>
          <w:rStyle w:val="6"/>
          <w:rFonts w:hint="eastAsia"/>
          <w:sz w:val="32"/>
          <w:szCs w:val="32"/>
        </w:rPr>
        <w:t>年</w:t>
      </w:r>
      <w:r>
        <w:rPr>
          <w:rStyle w:val="6"/>
          <w:rFonts w:hint="eastAsia"/>
          <w:sz w:val="32"/>
          <w:szCs w:val="32"/>
          <w:lang w:eastAsia="zh-CN"/>
        </w:rPr>
        <w:t>上</w:t>
      </w:r>
      <w:r>
        <w:rPr>
          <w:rStyle w:val="6"/>
          <w:rFonts w:hint="eastAsia"/>
          <w:b/>
          <w:bCs w:val="0"/>
          <w:color w:val="auto"/>
          <w:sz w:val="32"/>
          <w:szCs w:val="32"/>
          <w:lang w:eastAsia="zh-CN"/>
        </w:rPr>
        <w:t>半</w:t>
      </w:r>
      <w:r>
        <w:rPr>
          <w:rStyle w:val="6"/>
          <w:rFonts w:hint="eastAsia"/>
          <w:sz w:val="32"/>
          <w:szCs w:val="32"/>
        </w:rPr>
        <w:t>年度报告</w:t>
      </w:r>
    </w:p>
    <w:p>
      <w:pPr>
        <w:pStyle w:val="4"/>
        <w:widowControl/>
        <w:jc w:val="center"/>
        <w:rPr>
          <w:rStyle w:val="6"/>
          <w:lang w:val="en-US"/>
        </w:rPr>
      </w:pPr>
      <w:r>
        <w:rPr>
          <w:rStyle w:val="6"/>
          <w:rFonts w:hint="eastAsia"/>
        </w:rPr>
        <w:t>报告期：202</w:t>
      </w:r>
      <w:r>
        <w:rPr>
          <w:rStyle w:val="6"/>
          <w:rFonts w:hint="eastAsia"/>
          <w:lang w:val="en-US" w:eastAsia="zh-CN"/>
        </w:rPr>
        <w:t>2</w:t>
      </w:r>
      <w:r>
        <w:rPr>
          <w:rStyle w:val="6"/>
        </w:rPr>
        <w:t>-1-1</w:t>
      </w:r>
      <w:r>
        <w:rPr>
          <w:rStyle w:val="6"/>
          <w:rFonts w:hint="eastAsia"/>
        </w:rPr>
        <w:t>至202</w:t>
      </w:r>
      <w:r>
        <w:rPr>
          <w:rStyle w:val="6"/>
          <w:rFonts w:hint="eastAsia"/>
          <w:lang w:val="en-US" w:eastAsia="zh-CN"/>
        </w:rPr>
        <w:t>2</w:t>
      </w:r>
      <w:r>
        <w:rPr>
          <w:rStyle w:val="6"/>
        </w:rPr>
        <w:t>-</w:t>
      </w:r>
      <w:r>
        <w:rPr>
          <w:rStyle w:val="6"/>
          <w:rFonts w:hint="eastAsia"/>
          <w:lang w:val="en-US" w:eastAsia="zh-CN"/>
        </w:rPr>
        <w:t>6-30</w:t>
      </w:r>
    </w:p>
    <w:p>
      <w:pPr>
        <w:pStyle w:val="4"/>
        <w:widowControl/>
        <w:rPr>
          <w:rStyle w:val="6"/>
        </w:rPr>
      </w:pPr>
    </w:p>
    <w:p>
      <w:pPr>
        <w:pStyle w:val="4"/>
        <w:widowControl/>
      </w:pPr>
      <w:r>
        <w:rPr>
          <w:rStyle w:val="6"/>
          <w:rFonts w:hint="eastAsia"/>
        </w:rPr>
        <w:t>一、报告期内理财产品发行情况</w:t>
      </w:r>
    </w:p>
    <w:p>
      <w:pPr>
        <w:pStyle w:val="4"/>
        <w:widowControl/>
        <w:spacing w:line="360" w:lineRule="auto"/>
      </w:pPr>
      <w:r>
        <w:rPr>
          <w:rFonts w:hint="eastAsia"/>
        </w:rPr>
        <w:t>　  报告期内我行共发行理财产品</w:t>
      </w:r>
      <w:r>
        <w:rPr>
          <w:rFonts w:hint="eastAsia"/>
          <w:lang w:val="en-US" w:eastAsia="zh-CN"/>
        </w:rPr>
        <w:t>76</w:t>
      </w:r>
      <w:r>
        <w:rPr>
          <w:rFonts w:hint="eastAsia"/>
        </w:rPr>
        <w:t>期，金额</w:t>
      </w:r>
      <w:r>
        <w:rPr>
          <w:rFonts w:hint="eastAsia"/>
          <w:lang w:val="en-US" w:eastAsia="zh-CN"/>
        </w:rPr>
        <w:t>698010</w:t>
      </w:r>
      <w:r>
        <w:rPr>
          <w:rFonts w:hint="eastAsia"/>
        </w:rPr>
        <w:t>万元，其中净值型理财产品76期，金额698010万元。已发理财产品按募集方式划分，均为公募理财产品；按投资性质划分，均为固定收益类产品。</w:t>
      </w:r>
    </w:p>
    <w:p>
      <w:pPr>
        <w:pStyle w:val="4"/>
        <w:widowControl/>
        <w:jc w:val="center"/>
        <w:rPr>
          <w:rStyle w:val="6"/>
        </w:rPr>
      </w:pPr>
      <w:r>
        <w:rPr>
          <w:rStyle w:val="6"/>
          <w:rFonts w:hint="eastAsia"/>
        </w:rPr>
        <w:t>报告期内发行产品情况表</w:t>
      </w:r>
    </w:p>
    <w:p>
      <w:pPr>
        <w:pStyle w:val="4"/>
        <w:widowControl/>
        <w:jc w:val="center"/>
      </w:pPr>
      <w:r>
        <w:rPr>
          <w:rFonts w:hint="eastAsia"/>
        </w:rPr>
        <w:t>单位：万元</w:t>
      </w:r>
    </w:p>
    <w:tbl>
      <w:tblPr>
        <w:tblStyle w:val="15"/>
        <w:tblW w:w="799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7"/>
        <w:gridCol w:w="1704"/>
        <w:gridCol w:w="805"/>
        <w:gridCol w:w="1322"/>
        <w:gridCol w:w="2605"/>
      </w:tblGrid>
      <w:tr>
        <w:tblPrEx>
          <w:tblLayout w:type="fixed"/>
        </w:tblPrEx>
        <w:trPr>
          <w:trHeight w:val="540" w:hRule="atLeast"/>
        </w:trPr>
        <w:tc>
          <w:tcPr>
            <w:tcW w:w="32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产品类别</w:t>
            </w:r>
          </w:p>
        </w:tc>
        <w:tc>
          <w:tcPr>
            <w:tcW w:w="4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2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金额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占比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按募集方式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公募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en-US" w:eastAsia="zh-CN"/>
              </w:rPr>
              <w:t>76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698010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按投资性质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固定收益类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  <w:lang w:val="en-US" w:eastAsia="zh-CN"/>
              </w:rPr>
              <w:t>76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sz w:val="22"/>
                <w:szCs w:val="22"/>
              </w:rPr>
              <w:t>698010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%</w:t>
            </w:r>
          </w:p>
        </w:tc>
      </w:tr>
    </w:tbl>
    <w:p>
      <w:pPr>
        <w:pStyle w:val="4"/>
        <w:widowControl/>
        <w:ind w:firstLine="482" w:firstLineChars="200"/>
        <w:rPr>
          <w:rStyle w:val="6"/>
        </w:rPr>
      </w:pPr>
    </w:p>
    <w:p>
      <w:pPr>
        <w:pStyle w:val="4"/>
        <w:widowControl/>
        <w:ind w:firstLine="482" w:firstLineChars="200"/>
      </w:pPr>
      <w:r>
        <w:rPr>
          <w:rStyle w:val="6"/>
          <w:rFonts w:hint="eastAsia"/>
        </w:rPr>
        <w:t>二、当期理财产品到期情况</w:t>
      </w:r>
    </w:p>
    <w:p>
      <w:pPr>
        <w:pStyle w:val="4"/>
        <w:widowControl/>
        <w:ind w:firstLine="480"/>
      </w:pPr>
      <w:r>
        <w:rPr>
          <w:rFonts w:hint="eastAsia"/>
        </w:rPr>
        <w:t>报告期内我行共到期理财产品</w:t>
      </w:r>
      <w:r>
        <w:rPr>
          <w:rFonts w:hint="eastAsia"/>
          <w:lang w:val="en-US" w:eastAsia="zh-CN"/>
        </w:rPr>
        <w:t>77</w:t>
      </w:r>
      <w:r>
        <w:rPr>
          <w:rFonts w:hint="eastAsia"/>
        </w:rPr>
        <w:t>期，金额</w:t>
      </w:r>
      <w:r>
        <w:rPr>
          <w:rFonts w:hint="eastAsia"/>
          <w:lang w:val="en-US" w:eastAsia="zh-CN"/>
        </w:rPr>
        <w:t>733326</w:t>
      </w:r>
      <w:r>
        <w:rPr>
          <w:rFonts w:hint="eastAsia"/>
        </w:rPr>
        <w:t>万元，均按期兑付，收益率达到业绩比较基准。</w:t>
      </w:r>
    </w:p>
    <w:p>
      <w:pPr>
        <w:pStyle w:val="4"/>
        <w:widowControl/>
        <w:jc w:val="center"/>
        <w:rPr>
          <w:rStyle w:val="6"/>
        </w:rPr>
      </w:pPr>
      <w:r>
        <w:rPr>
          <w:rStyle w:val="6"/>
          <w:rFonts w:hint="eastAsia"/>
        </w:rPr>
        <w:t>报告期内到期产品情况表</w:t>
      </w:r>
    </w:p>
    <w:p>
      <w:pPr>
        <w:pStyle w:val="4"/>
        <w:widowControl/>
        <w:jc w:val="center"/>
      </w:pPr>
      <w:r>
        <w:rPr>
          <w:rFonts w:hint="eastAsia"/>
        </w:rPr>
        <w:t>单位：万元</w:t>
      </w:r>
    </w:p>
    <w:tbl>
      <w:tblPr>
        <w:tblStyle w:val="15"/>
        <w:tblW w:w="799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7"/>
        <w:gridCol w:w="1704"/>
        <w:gridCol w:w="805"/>
        <w:gridCol w:w="1322"/>
        <w:gridCol w:w="26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2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产品类别</w:t>
            </w:r>
          </w:p>
        </w:tc>
        <w:tc>
          <w:tcPr>
            <w:tcW w:w="4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2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金额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占比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按募集方式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公募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77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733326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100.00%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按投资性质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固定收益类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77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733326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100.00%</w:t>
            </w:r>
          </w:p>
        </w:tc>
      </w:tr>
    </w:tbl>
    <w:p>
      <w:pPr>
        <w:pStyle w:val="4"/>
        <w:widowControl/>
        <w:ind w:firstLine="480"/>
      </w:pPr>
    </w:p>
    <w:p>
      <w:pPr>
        <w:pStyle w:val="4"/>
        <w:widowControl/>
      </w:pPr>
      <w:r>
        <w:rPr>
          <w:rFonts w:hint="eastAsia"/>
        </w:rPr>
        <w:t xml:space="preserve">　  </w:t>
      </w:r>
      <w:r>
        <w:rPr>
          <w:rStyle w:val="6"/>
          <w:rFonts w:hint="eastAsia"/>
        </w:rPr>
        <w:t>三、期末理财产品存续情况</w:t>
      </w:r>
    </w:p>
    <w:p>
      <w:pPr>
        <w:pStyle w:val="4"/>
        <w:widowControl/>
        <w:spacing w:line="360" w:lineRule="auto"/>
        <w:ind w:firstLine="480"/>
      </w:pPr>
      <w:r>
        <w:rPr>
          <w:rFonts w:hint="eastAsia"/>
        </w:rPr>
        <w:t>截至2021年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月末，我行存续理财产品</w:t>
      </w:r>
      <w:r>
        <w:t xml:space="preserve"> </w:t>
      </w:r>
      <w:r>
        <w:rPr>
          <w:rFonts w:hint="eastAsia"/>
          <w:lang w:val="en-US" w:eastAsia="zh-CN"/>
        </w:rPr>
        <w:t>102</w:t>
      </w:r>
      <w:r>
        <w:rPr>
          <w:rFonts w:hint="eastAsia"/>
        </w:rPr>
        <w:t>期，产品余额</w:t>
      </w:r>
      <w:r>
        <w:rPr>
          <w:rFonts w:hint="eastAsia"/>
          <w:lang w:val="en-US" w:eastAsia="zh-CN"/>
        </w:rPr>
        <w:t>953362</w:t>
      </w:r>
      <w:r>
        <w:rPr>
          <w:rFonts w:hint="eastAsia"/>
        </w:rPr>
        <w:t>万元，均为符合理财新规要求的净值型产品。</w:t>
      </w:r>
    </w:p>
    <w:p>
      <w:pPr>
        <w:pStyle w:val="4"/>
        <w:widowControl/>
        <w:jc w:val="center"/>
        <w:rPr>
          <w:rStyle w:val="6"/>
        </w:rPr>
      </w:pPr>
      <w:r>
        <w:rPr>
          <w:rStyle w:val="6"/>
          <w:rFonts w:hint="eastAsia"/>
        </w:rPr>
        <w:t>报告期内存续产品情况表</w:t>
      </w:r>
    </w:p>
    <w:p>
      <w:pPr>
        <w:pStyle w:val="4"/>
        <w:widowControl/>
        <w:jc w:val="center"/>
      </w:pPr>
      <w:r>
        <w:rPr>
          <w:rFonts w:hint="eastAsia"/>
        </w:rPr>
        <w:t>单位：万元</w:t>
      </w:r>
    </w:p>
    <w:tbl>
      <w:tblPr>
        <w:tblStyle w:val="15"/>
        <w:tblW w:w="799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7"/>
        <w:gridCol w:w="1704"/>
        <w:gridCol w:w="805"/>
        <w:gridCol w:w="1322"/>
        <w:gridCol w:w="26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2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产品类别</w:t>
            </w:r>
          </w:p>
        </w:tc>
        <w:tc>
          <w:tcPr>
            <w:tcW w:w="4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2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金额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占比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按募集方式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公募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953362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按投资性质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固定收益类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102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953362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%</w:t>
            </w:r>
          </w:p>
        </w:tc>
      </w:tr>
    </w:tbl>
    <w:p>
      <w:pPr>
        <w:pStyle w:val="4"/>
        <w:widowControl/>
        <w:jc w:val="both"/>
      </w:pPr>
    </w:p>
    <w:p>
      <w:pPr>
        <w:pStyle w:val="4"/>
        <w:widowControl/>
        <w:ind w:firstLine="482" w:firstLineChars="200"/>
      </w:pPr>
      <w:r>
        <w:rPr>
          <w:rStyle w:val="6"/>
          <w:rFonts w:hint="eastAsia"/>
        </w:rPr>
        <w:t>四、理财投资基本情况</w:t>
      </w:r>
    </w:p>
    <w:p>
      <w:pPr>
        <w:pStyle w:val="4"/>
        <w:widowControl/>
      </w:pPr>
      <w:r>
        <w:rPr>
          <w:rFonts w:hint="eastAsia"/>
        </w:rPr>
        <w:t>　　截至202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月末，我行理财产品主要投资于现金及银行存款、标准化债权类资产，资产合计</w:t>
      </w:r>
      <w:r>
        <w:rPr>
          <w:rFonts w:hint="eastAsia"/>
          <w:lang w:val="en-US" w:eastAsia="zh-CN"/>
        </w:rPr>
        <w:t>953362</w:t>
      </w:r>
      <w:r>
        <w:rPr>
          <w:rFonts w:hint="eastAsia"/>
        </w:rPr>
        <w:t>万元</w:t>
      </w:r>
      <w:r>
        <w:rPr>
          <w:rFonts w:hint="eastAsia"/>
          <w:lang w:eastAsia="zh-CN"/>
        </w:rPr>
        <w:t>。</w:t>
      </w:r>
      <w:r>
        <w:rPr>
          <w:rFonts w:hint="eastAsia"/>
          <w:b w:val="0"/>
          <w:bCs w:val="0"/>
        </w:rPr>
        <w:t>投资前十项资产</w:t>
      </w:r>
      <w:r>
        <w:rPr>
          <w:rFonts w:hint="eastAsia"/>
          <w:b w:val="0"/>
          <w:bCs w:val="0"/>
          <w:lang w:val="en-US" w:eastAsia="zh-CN"/>
        </w:rPr>
        <w:t>为金融债、银行存款、同业存单、</w:t>
      </w:r>
      <w:bookmarkStart w:id="0" w:name="_GoBack"/>
      <w:bookmarkEnd w:id="0"/>
      <w:r>
        <w:rPr>
          <w:rFonts w:hint="eastAsia"/>
          <w:b w:val="0"/>
          <w:bCs w:val="0"/>
          <w:lang w:val="en-US" w:eastAsia="zh-CN"/>
        </w:rPr>
        <w:t>企业债，</w:t>
      </w:r>
      <w:r>
        <w:rPr>
          <w:rFonts w:hint="eastAsia"/>
        </w:rPr>
        <w:t>流动性风险可控。</w:t>
      </w:r>
    </w:p>
    <w:p>
      <w:pPr>
        <w:pStyle w:val="4"/>
        <w:widowControl/>
        <w:jc w:val="center"/>
        <w:rPr>
          <w:rStyle w:val="6"/>
        </w:rPr>
      </w:pPr>
      <w:r>
        <w:rPr>
          <w:rStyle w:val="6"/>
          <w:rFonts w:hint="eastAsia"/>
        </w:rPr>
        <w:t>报告期末理财产品投资明细</w:t>
      </w:r>
    </w:p>
    <w:p>
      <w:pPr>
        <w:pStyle w:val="4"/>
        <w:widowControl/>
        <w:ind w:firstLine="5520" w:firstLineChars="2300"/>
        <w:jc w:val="both"/>
        <w:rPr>
          <w:rStyle w:val="6"/>
        </w:rPr>
      </w:pPr>
      <w:r>
        <w:rPr>
          <w:rFonts w:hint="eastAsia"/>
        </w:rPr>
        <w:t>单位：万元</w:t>
      </w:r>
    </w:p>
    <w:tbl>
      <w:tblPr>
        <w:tblStyle w:val="15"/>
        <w:tblW w:w="7650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60"/>
        <w:gridCol w:w="479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Autospacing="1" w:afterAutospacing="1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资产类别</w:t>
            </w:r>
          </w:p>
        </w:tc>
        <w:tc>
          <w:tcPr>
            <w:tcW w:w="4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beforeAutospacing="1" w:afterAutospacing="1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活期</w:t>
            </w:r>
          </w:p>
        </w:tc>
        <w:tc>
          <w:tcPr>
            <w:tcW w:w="4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49372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存款</w:t>
            </w:r>
          </w:p>
        </w:tc>
        <w:tc>
          <w:tcPr>
            <w:tcW w:w="4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56000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同业存单</w:t>
            </w:r>
          </w:p>
        </w:tc>
        <w:tc>
          <w:tcPr>
            <w:tcW w:w="4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51000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金融债</w:t>
            </w:r>
          </w:p>
        </w:tc>
        <w:tc>
          <w:tcPr>
            <w:tcW w:w="4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263000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企业债</w:t>
            </w:r>
          </w:p>
        </w:tc>
        <w:tc>
          <w:tcPr>
            <w:tcW w:w="4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533990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资产总额</w:t>
            </w:r>
          </w:p>
        </w:tc>
        <w:tc>
          <w:tcPr>
            <w:tcW w:w="4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953362</w:t>
            </w:r>
          </w:p>
        </w:tc>
      </w:tr>
    </w:tbl>
    <w:p>
      <w:pPr>
        <w:widowControl/>
        <w:autoSpaceDE w:val="0"/>
        <w:spacing w:beforeAutospacing="1" w:afterAutospacing="1"/>
        <w:textAlignment w:val="center"/>
        <w:rPr>
          <w:kern w:val="0"/>
          <w:sz w:val="24"/>
        </w:rPr>
      </w:pPr>
      <w:r>
        <w:rPr>
          <w:rFonts w:hint="eastAsia"/>
        </w:rPr>
        <w:t>网站公布数据仅供参考，交易数据以实际网点公布为准。</w:t>
      </w:r>
    </w:p>
    <w:p>
      <w:pPr>
        <w:widowControl/>
        <w:autoSpaceDE w:val="0"/>
        <w:spacing w:beforeAutospacing="1" w:afterAutospacing="1"/>
        <w:textAlignment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烟台银行股份有限公司</w:t>
      </w:r>
    </w:p>
    <w:p>
      <w:pPr>
        <w:widowControl/>
        <w:autoSpaceDE w:val="0"/>
        <w:spacing w:beforeAutospacing="1" w:afterAutospacing="1"/>
        <w:ind w:firstLine="6000" w:firstLineChars="2500"/>
        <w:textAlignment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2022年</w:t>
      </w:r>
      <w:r>
        <w:rPr>
          <w:rFonts w:hint="eastAsia"/>
          <w:kern w:val="0"/>
          <w:sz w:val="24"/>
          <w:lang w:val="en-US" w:eastAsia="zh-CN"/>
        </w:rPr>
        <w:t>6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  <w:lang w:val="en-US" w:eastAsia="zh-CN"/>
        </w:rPr>
        <w:t>30</w:t>
      </w:r>
      <w:r>
        <w:rPr>
          <w:rFonts w:hint="eastAsia"/>
          <w:kern w:val="0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2"/>
  </w:compat>
  <w:rsids>
    <w:rsidRoot w:val="00D14C92"/>
    <w:rsid w:val="00007B13"/>
    <w:rsid w:val="001B4688"/>
    <w:rsid w:val="001E1E88"/>
    <w:rsid w:val="00236390"/>
    <w:rsid w:val="002772B7"/>
    <w:rsid w:val="00380719"/>
    <w:rsid w:val="0044175A"/>
    <w:rsid w:val="004535D3"/>
    <w:rsid w:val="0049352B"/>
    <w:rsid w:val="006143F0"/>
    <w:rsid w:val="00776AA1"/>
    <w:rsid w:val="008C146D"/>
    <w:rsid w:val="008F358C"/>
    <w:rsid w:val="009B77D1"/>
    <w:rsid w:val="00AF5367"/>
    <w:rsid w:val="00C807B4"/>
    <w:rsid w:val="00D14C92"/>
    <w:rsid w:val="00E913DE"/>
    <w:rsid w:val="00F83DBB"/>
    <w:rsid w:val="02BA70B5"/>
    <w:rsid w:val="05B9672E"/>
    <w:rsid w:val="06B66BCC"/>
    <w:rsid w:val="099E0001"/>
    <w:rsid w:val="0FC4142B"/>
    <w:rsid w:val="13926FE2"/>
    <w:rsid w:val="14485217"/>
    <w:rsid w:val="1771519A"/>
    <w:rsid w:val="1ABD533E"/>
    <w:rsid w:val="20D90CBB"/>
    <w:rsid w:val="210A5600"/>
    <w:rsid w:val="21E76FFF"/>
    <w:rsid w:val="22F15DD3"/>
    <w:rsid w:val="23026E4B"/>
    <w:rsid w:val="277C3D22"/>
    <w:rsid w:val="28ED3698"/>
    <w:rsid w:val="34364A08"/>
    <w:rsid w:val="34437AC6"/>
    <w:rsid w:val="39E8123D"/>
    <w:rsid w:val="3F2D4F0A"/>
    <w:rsid w:val="458B706C"/>
    <w:rsid w:val="45DF6FF1"/>
    <w:rsid w:val="49B459D9"/>
    <w:rsid w:val="4BA27E46"/>
    <w:rsid w:val="50325E4D"/>
    <w:rsid w:val="53B967B9"/>
    <w:rsid w:val="53BE6BEB"/>
    <w:rsid w:val="598013B0"/>
    <w:rsid w:val="5A235AC2"/>
    <w:rsid w:val="5A607C75"/>
    <w:rsid w:val="5B375244"/>
    <w:rsid w:val="60995346"/>
    <w:rsid w:val="620039A3"/>
    <w:rsid w:val="64BA5E79"/>
    <w:rsid w:val="6CBB7BB0"/>
    <w:rsid w:val="6CE827A5"/>
    <w:rsid w:val="6DBE32C2"/>
    <w:rsid w:val="74017A79"/>
    <w:rsid w:val="79F457A4"/>
    <w:rsid w:val="7CB73B5A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uiPriority="99" w:name="HTML Preformatted"/>
    <w:lsdException w:qFormat="1" w:unhideWhenUsed="0" w:uiPriority="99" w:semiHidden="0" w:name="HTML Sample"/>
    <w:lsdException w:uiPriority="99" w:name="HTML Typewriter"/>
    <w:lsdException w:qFormat="1" w:unhideWhenUsed="0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bCs/>
      <w:kern w:val="0"/>
      <w:szCs w:val="21"/>
    </w:rPr>
  </w:style>
  <w:style w:type="character" w:default="1" w:styleId="5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FollowedHyperlink"/>
    <w:basedOn w:val="5"/>
    <w:qFormat/>
    <w:uiPriority w:val="99"/>
    <w:rPr>
      <w:rFonts w:cs="Times New Roman"/>
      <w:color w:val="800080"/>
      <w:u w:val="none"/>
    </w:rPr>
  </w:style>
  <w:style w:type="character" w:styleId="8">
    <w:name w:val="HTML Definition"/>
    <w:basedOn w:val="5"/>
    <w:qFormat/>
    <w:uiPriority w:val="99"/>
    <w:rPr>
      <w:rFonts w:cs="Times New Roman"/>
    </w:rPr>
  </w:style>
  <w:style w:type="character" w:styleId="9">
    <w:name w:val="HTML Variable"/>
    <w:basedOn w:val="5"/>
    <w:qFormat/>
    <w:uiPriority w:val="99"/>
    <w:rPr>
      <w:rFonts w:cs="Times New Roman"/>
    </w:rPr>
  </w:style>
  <w:style w:type="character" w:styleId="10">
    <w:name w:val="Hyperlink"/>
    <w:basedOn w:val="5"/>
    <w:qFormat/>
    <w:uiPriority w:val="99"/>
    <w:rPr>
      <w:rFonts w:cs="Times New Roman"/>
      <w:color w:val="0000FF"/>
      <w:u w:val="none"/>
    </w:rPr>
  </w:style>
  <w:style w:type="character" w:styleId="11">
    <w:name w:val="HTML Code"/>
    <w:basedOn w:val="5"/>
    <w:qFormat/>
    <w:uiPriority w:val="99"/>
    <w:rPr>
      <w:rFonts w:ascii="Courier New" w:hAnsi="Courier New" w:cs="Courier New"/>
      <w:sz w:val="20"/>
    </w:rPr>
  </w:style>
  <w:style w:type="character" w:styleId="12">
    <w:name w:val="HTML Cite"/>
    <w:basedOn w:val="5"/>
    <w:qFormat/>
    <w:uiPriority w:val="99"/>
    <w:rPr>
      <w:rFonts w:cs="Times New Roman"/>
    </w:rPr>
  </w:style>
  <w:style w:type="character" w:styleId="13">
    <w:name w:val="HTML Keyboard"/>
    <w:basedOn w:val="5"/>
    <w:qFormat/>
    <w:uiPriority w:val="99"/>
    <w:rPr>
      <w:rFonts w:ascii="Courier New" w:hAnsi="Courier New" w:cs="Courier New"/>
      <w:sz w:val="20"/>
    </w:rPr>
  </w:style>
  <w:style w:type="character" w:styleId="14">
    <w:name w:val="HTML Sample"/>
    <w:basedOn w:val="5"/>
    <w:qFormat/>
    <w:uiPriority w:val="99"/>
    <w:rPr>
      <w:rFonts w:ascii="Courier New" w:hAnsi="Courier New" w:cs="Courier New"/>
    </w:rPr>
  </w:style>
  <w:style w:type="character" w:customStyle="1" w:styleId="16">
    <w:name w:val="标题 2 Char"/>
    <w:basedOn w:val="5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7">
    <w:name w:val="t_con1"/>
    <w:basedOn w:val="5"/>
    <w:qFormat/>
    <w:uiPriority w:val="99"/>
    <w:rPr>
      <w:rFonts w:cs="Times New Roman"/>
    </w:rPr>
  </w:style>
  <w:style w:type="character" w:customStyle="1" w:styleId="18">
    <w:name w:val="批注框文本 Char"/>
    <w:basedOn w:val="5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ACFD60-373C-42BF-87B5-0B4024B90E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218</Words>
  <Characters>1245</Characters>
  <Lines>10</Lines>
  <Paragraphs>2</Paragraphs>
  <ScaleCrop>false</ScaleCrop>
  <LinksUpToDate>false</LinksUpToDate>
  <CharactersWithSpaces>1461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</dc:creator>
  <cp:lastModifiedBy>谢雯</cp:lastModifiedBy>
  <cp:lastPrinted>2021-07-09T07:16:00Z</cp:lastPrinted>
  <dcterms:modified xsi:type="dcterms:W3CDTF">2022-07-12T01:17:14Z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DC5094AD1A3945A79B193D933927A204</vt:lpwstr>
  </property>
</Properties>
</file>