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“蓝海汇”蓝海风帆系列扬帆20200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期净值型理财产品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>2021年1季度报告</w:t>
      </w:r>
    </w:p>
    <w:p>
      <w:pPr>
        <w:jc w:val="center"/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存续规模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>产品存续金额5000万元整。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收益表现</w:t>
      </w:r>
    </w:p>
    <w:p>
      <w:pPr>
        <w:numPr>
          <w:ilvl w:val="0"/>
          <w:numId w:val="0"/>
        </w:numPr>
        <w:rPr>
          <w:rFonts w:hint="default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 w:val="0"/>
          <w:color w:val="333333"/>
          <w:sz w:val="30"/>
          <w:szCs w:val="30"/>
          <w:lang w:val="en-US" w:eastAsia="zh-CN"/>
        </w:rPr>
        <w:t xml:space="preserve"> 产品净值1.02153。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投资的资产种类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及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投资比例、投资组合的流动性风险分析</w:t>
      </w:r>
    </w:p>
    <w:p>
      <w:pPr>
        <w:numPr>
          <w:ilvl w:val="0"/>
          <w:numId w:val="0"/>
        </w:numPr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投资于同业借款/债券，投资比例100%。资产到期日晚于产品到期日，流动性风险可控。</w:t>
      </w:r>
    </w:p>
    <w:p>
      <w:pPr>
        <w:numPr>
          <w:ilvl w:val="0"/>
          <w:numId w:val="1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  <w:r>
        <w:rPr>
          <w:rFonts w:hint="eastAsia" w:ascii="仿宋" w:hAnsi="仿宋" w:eastAsia="仿宋"/>
          <w:b/>
          <w:bCs/>
          <w:color w:val="333333"/>
          <w:sz w:val="30"/>
          <w:szCs w:val="30"/>
        </w:rPr>
        <w:t>资产</w:t>
      </w:r>
      <w: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  <w:t>情况</w:t>
      </w:r>
    </w:p>
    <w:tbl>
      <w:tblPr>
        <w:tblStyle w:val="3"/>
        <w:tblpPr w:leftFromText="180" w:rightFromText="180" w:vertAnchor="text" w:horzAnchor="page" w:tblpX="2351" w:tblpY="710"/>
        <w:tblOverlap w:val="never"/>
        <w:tblW w:w="763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0"/>
        <w:gridCol w:w="2085"/>
        <w:gridCol w:w="1624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资产名称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全价金额（万元）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河南中原消费金融股份有限公司同业借款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/>
          <w:b/>
          <w:bCs/>
          <w:color w:val="333333"/>
          <w:sz w:val="30"/>
          <w:szCs w:val="30"/>
          <w:lang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/>
          <w:color w:val="333333"/>
          <w:sz w:val="30"/>
          <w:szCs w:val="30"/>
        </w:rPr>
      </w:pPr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</w:rPr>
      </w:pPr>
      <w:bookmarkStart w:id="0" w:name="_GoBack"/>
      <w:bookmarkEnd w:id="0"/>
    </w:p>
    <w:p>
      <w:pPr>
        <w:numPr>
          <w:ilvl w:val="0"/>
          <w:numId w:val="0"/>
        </w:numPr>
        <w:ind w:leftChars="0" w:firstLine="300" w:firstLineChars="100"/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烟台银行股份有限公司</w:t>
      </w:r>
    </w:p>
    <w:p>
      <w:pPr>
        <w:numPr>
          <w:ilvl w:val="0"/>
          <w:numId w:val="0"/>
        </w:numPr>
        <w:ind w:leftChars="0" w:firstLine="300" w:firstLineChars="100"/>
        <w:rPr>
          <w:rFonts w:hint="default" w:ascii="仿宋" w:hAnsi="仿宋" w:eastAsia="仿宋"/>
          <w:color w:val="333333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333333"/>
          <w:sz w:val="30"/>
          <w:szCs w:val="30"/>
          <w:lang w:val="en-US" w:eastAsia="zh-CN"/>
        </w:rPr>
        <w:t xml:space="preserve">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528950609">
    <w:nsid w:val="D2578351"/>
    <w:multiLevelType w:val="singleLevel"/>
    <w:tmpl w:val="D2578351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5289506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E5C9E"/>
    <w:rsid w:val="05433FBE"/>
    <w:rsid w:val="10CC2622"/>
    <w:rsid w:val="3490593A"/>
    <w:rsid w:val="39821B6D"/>
    <w:rsid w:val="3A4960B2"/>
    <w:rsid w:val="3C437172"/>
    <w:rsid w:val="4B0940AD"/>
    <w:rsid w:val="4EA00411"/>
    <w:rsid w:val="66ED2370"/>
    <w:rsid w:val="78E07463"/>
    <w:rsid w:val="7E9353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sy</dc:creator>
  <cp:lastModifiedBy>Administrator</cp:lastModifiedBy>
  <cp:lastPrinted>2021-08-20T07:43:00Z</cp:lastPrinted>
  <dcterms:modified xsi:type="dcterms:W3CDTF">2021-08-23T08:59:48Z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3F7D77E7B83E4AA59358E152A8B1C184</vt:lpwstr>
  </property>
</Properties>
</file>